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8A" w:rsidRDefault="007D11DF" w:rsidP="007D11DF">
      <w:pPr>
        <w:pStyle w:val="berschrift1"/>
        <w:ind w:left="360"/>
      </w:pPr>
      <w:r>
        <w:t xml:space="preserve">1. </w:t>
      </w:r>
      <w:r w:rsidR="0003028A">
        <w:t>Gesetz, Richtlinie, Fachgutachten, Literatur</w:t>
      </w:r>
    </w:p>
    <w:p w:rsidR="00071864" w:rsidRPr="00334325" w:rsidRDefault="000E2558" w:rsidP="000E2558">
      <w:pPr>
        <w:pStyle w:val="Standardeinzug"/>
      </w:pPr>
      <w:r>
        <w:t>Entwurf eines IDW Standards: Wertermittlungen bei Beteiligungen an einer Immobilien-Gesellschaft nach § 250 Abs. 1 Nr. 2 und § 236 Abs. 1 KAGB (IDW ES 12) (Stand: 18.02.2015) (</w:t>
      </w:r>
      <w:proofErr w:type="spellStart"/>
      <w:r>
        <w:t>WPg</w:t>
      </w:r>
      <w:proofErr w:type="spellEnd"/>
      <w:r>
        <w:t>-Supplement I/2015)</w:t>
      </w:r>
    </w:p>
    <w:p w:rsidR="00757D2A" w:rsidRDefault="00837EB6" w:rsidP="0049071E">
      <w:pPr>
        <w:pStyle w:val="berschrift1"/>
      </w:pPr>
      <w:r>
        <w:t xml:space="preserve">2. </w:t>
      </w:r>
      <w:r w:rsidR="00757D2A">
        <w:t>Bücher</w:t>
      </w:r>
      <w:r w:rsidR="00B85749">
        <w:rPr>
          <w:rStyle w:val="Funotenzeichen"/>
        </w:rPr>
        <w:footnoteReference w:id="1"/>
      </w:r>
    </w:p>
    <w:p w:rsidR="0089016F" w:rsidRDefault="00F00015" w:rsidP="0079701E">
      <w:pPr>
        <w:pStyle w:val="Standardeinzug"/>
      </w:pPr>
      <w:r>
        <w:t xml:space="preserve">Diedrich / </w:t>
      </w:r>
      <w:proofErr w:type="spellStart"/>
      <w:r>
        <w:t>Dierkes</w:t>
      </w:r>
      <w:proofErr w:type="spellEnd"/>
      <w:r>
        <w:t>: „Kapitalmarktorientierte Unternehmensbewertung“, Kohlhammer 2015</w:t>
      </w:r>
    </w:p>
    <w:p w:rsidR="00F00015" w:rsidRPr="00D86473" w:rsidRDefault="00F00015" w:rsidP="0079701E">
      <w:pPr>
        <w:pStyle w:val="Standardeinzug"/>
      </w:pPr>
      <w:proofErr w:type="spellStart"/>
      <w:r w:rsidRPr="00D86473">
        <w:t>Drukarczyk</w:t>
      </w:r>
      <w:proofErr w:type="spellEnd"/>
      <w:r w:rsidRPr="00D86473">
        <w:t xml:space="preserve"> / Schüler: „Unternehmensbewertung“, 7. Aufl., München 2015</w:t>
      </w:r>
    </w:p>
    <w:p w:rsidR="00F00015" w:rsidRDefault="00F00015" w:rsidP="0079701E">
      <w:pPr>
        <w:pStyle w:val="Standardeinzug"/>
      </w:pPr>
      <w:r>
        <w:t xml:space="preserve">Fleischer / </w:t>
      </w:r>
      <w:proofErr w:type="spellStart"/>
      <w:r>
        <w:t>Adolff</w:t>
      </w:r>
      <w:proofErr w:type="spellEnd"/>
      <w:r>
        <w:t>: „Rechtshandbuch Unternehmensbewertung“, O. Schmidt 2015</w:t>
      </w:r>
    </w:p>
    <w:p w:rsidR="00F00015" w:rsidRDefault="00F00015" w:rsidP="0079701E">
      <w:pPr>
        <w:pStyle w:val="Standardeinzug"/>
      </w:pPr>
      <w:r>
        <w:t xml:space="preserve">Hallerbach / Wollny: „Unternehmens- und Praxisübertragungen“, 8., </w:t>
      </w:r>
      <w:proofErr w:type="spellStart"/>
      <w:r>
        <w:t>überarb</w:t>
      </w:r>
      <w:proofErr w:type="spellEnd"/>
      <w:r>
        <w:t>. und aktualisierte Aufl.</w:t>
      </w:r>
      <w:r w:rsidR="00377E6C">
        <w:t xml:space="preserve">, </w:t>
      </w:r>
      <w:r>
        <w:t>NWB Verlag</w:t>
      </w:r>
      <w:r w:rsidR="00377E6C">
        <w:t xml:space="preserve"> </w:t>
      </w:r>
      <w:r>
        <w:t>2015</w:t>
      </w:r>
    </w:p>
    <w:p w:rsidR="0079701E" w:rsidRDefault="0079701E" w:rsidP="0079701E">
      <w:pPr>
        <w:pStyle w:val="Standardeinzug"/>
      </w:pPr>
      <w:proofErr w:type="spellStart"/>
      <w:r>
        <w:t>Kiem</w:t>
      </w:r>
      <w:proofErr w:type="spellEnd"/>
      <w:r>
        <w:t xml:space="preserve"> / </w:t>
      </w:r>
      <w:proofErr w:type="spellStart"/>
      <w:r>
        <w:t>Caumanns</w:t>
      </w:r>
      <w:proofErr w:type="spellEnd"/>
      <w:r>
        <w:t>: „Kaufpreisregelungen beim Unternehmenskauf“, Beck 2015</w:t>
      </w:r>
    </w:p>
    <w:p w:rsidR="00377E6C" w:rsidRDefault="00377E6C" w:rsidP="0079701E">
      <w:pPr>
        <w:pStyle w:val="Standardeinzug"/>
      </w:pPr>
      <w:proofErr w:type="spellStart"/>
      <w:r>
        <w:t>Khinast</w:t>
      </w:r>
      <w:proofErr w:type="spellEnd"/>
      <w:r>
        <w:t xml:space="preserve">-Sittenthaler [Hrsg.]: „Unternehmensbewertung in Theorie und Praxis“, </w:t>
      </w:r>
      <w:proofErr w:type="spellStart"/>
      <w:r>
        <w:t>Dbv</w:t>
      </w:r>
      <w:proofErr w:type="spellEnd"/>
      <w:r>
        <w:t>-Verl. 2015</w:t>
      </w:r>
    </w:p>
    <w:p w:rsidR="00377E6C" w:rsidRDefault="00377E6C" w:rsidP="0079701E">
      <w:pPr>
        <w:pStyle w:val="Standardeinzug"/>
      </w:pPr>
      <w:proofErr w:type="spellStart"/>
      <w:r>
        <w:t>Krag</w:t>
      </w:r>
      <w:proofErr w:type="spellEnd"/>
      <w:r>
        <w:t xml:space="preserve"> / </w:t>
      </w:r>
      <w:proofErr w:type="spellStart"/>
      <w:r>
        <w:t>Kasperzak</w:t>
      </w:r>
      <w:proofErr w:type="spellEnd"/>
      <w:r>
        <w:t xml:space="preserve">: „Grundzüge der Unternehmensbewertung“ 2., </w:t>
      </w:r>
      <w:proofErr w:type="spellStart"/>
      <w:r>
        <w:t>überarb</w:t>
      </w:r>
      <w:proofErr w:type="spellEnd"/>
      <w:r>
        <w:t xml:space="preserve">. u. </w:t>
      </w:r>
      <w:proofErr w:type="spellStart"/>
      <w:r>
        <w:t>aktualis</w:t>
      </w:r>
      <w:proofErr w:type="spellEnd"/>
      <w:r>
        <w:t xml:space="preserve">. Aufl., </w:t>
      </w:r>
      <w:proofErr w:type="spellStart"/>
      <w:r>
        <w:t>Vahlen</w:t>
      </w:r>
      <w:proofErr w:type="spellEnd"/>
      <w:r>
        <w:t xml:space="preserve"> 2015</w:t>
      </w:r>
    </w:p>
    <w:p w:rsidR="00377E6C" w:rsidRDefault="00377E6C" w:rsidP="0079701E">
      <w:pPr>
        <w:pStyle w:val="Standardeinzug"/>
      </w:pPr>
      <w:proofErr w:type="spellStart"/>
      <w:r>
        <w:t>Kuhner</w:t>
      </w:r>
      <w:proofErr w:type="spellEnd"/>
      <w:r>
        <w:t xml:space="preserve"> / </w:t>
      </w:r>
      <w:proofErr w:type="spellStart"/>
      <w:r>
        <w:t>Maltry</w:t>
      </w:r>
      <w:proofErr w:type="spellEnd"/>
      <w:r>
        <w:t xml:space="preserve">: „Unternehmensbewertung“, 2., </w:t>
      </w:r>
      <w:proofErr w:type="spellStart"/>
      <w:r>
        <w:t>aktualis</w:t>
      </w:r>
      <w:proofErr w:type="spellEnd"/>
      <w:r>
        <w:t>. Aufl., Springer 2015</w:t>
      </w:r>
    </w:p>
    <w:p w:rsidR="0079701E" w:rsidRPr="00D86473" w:rsidRDefault="0079701E" w:rsidP="0079701E">
      <w:pPr>
        <w:pStyle w:val="Standardeinzug"/>
      </w:pPr>
      <w:r w:rsidRPr="00D86473">
        <w:t xml:space="preserve">Peemöller [Hrsg.]: „Praxishandbuch der Unternehmensbewertung“ 6., </w:t>
      </w:r>
      <w:proofErr w:type="spellStart"/>
      <w:r w:rsidRPr="00D86473">
        <w:t>vollst</w:t>
      </w:r>
      <w:proofErr w:type="spellEnd"/>
      <w:r w:rsidRPr="00D86473">
        <w:t xml:space="preserve">. aktualisierte und </w:t>
      </w:r>
      <w:proofErr w:type="spellStart"/>
      <w:r w:rsidRPr="00D86473">
        <w:t>erw</w:t>
      </w:r>
      <w:proofErr w:type="spellEnd"/>
      <w:r w:rsidRPr="00D86473">
        <w:t>. Aufl., NWB-Verl. 2015</w:t>
      </w:r>
    </w:p>
    <w:p w:rsidR="0079701E" w:rsidRPr="0089016F" w:rsidRDefault="0079701E" w:rsidP="0079701E">
      <w:pPr>
        <w:pStyle w:val="Standardeinzug"/>
      </w:pPr>
      <w:proofErr w:type="spellStart"/>
      <w:r>
        <w:t>Schwetzler</w:t>
      </w:r>
      <w:proofErr w:type="spellEnd"/>
      <w:r>
        <w:t xml:space="preserve"> / </w:t>
      </w:r>
      <w:proofErr w:type="spellStart"/>
      <w:r>
        <w:t>Aders</w:t>
      </w:r>
      <w:proofErr w:type="spellEnd"/>
      <w:r>
        <w:t xml:space="preserve"> [Hrsg.]: „Jahrbuch der Unternehmensbewertung 2015“ Handelsblatt Fac</w:t>
      </w:r>
      <w:r>
        <w:t>h</w:t>
      </w:r>
      <w:r>
        <w:t>medien 2015</w:t>
      </w:r>
    </w:p>
    <w:p w:rsidR="00377E6C" w:rsidRPr="00D86473" w:rsidRDefault="00377E6C" w:rsidP="0079701E">
      <w:pPr>
        <w:pStyle w:val="Standardeinzug"/>
      </w:pPr>
      <w:r w:rsidRPr="00D86473">
        <w:t>Wollny: „Der objektivierte Unternehmenswert“, 3. Aufl., NWB Verlag 2015</w:t>
      </w:r>
    </w:p>
    <w:p w:rsidR="00961802" w:rsidRDefault="00837EB6" w:rsidP="0033410F">
      <w:pPr>
        <w:pStyle w:val="berschrift1"/>
      </w:pPr>
      <w:r>
        <w:t xml:space="preserve">3. </w:t>
      </w:r>
      <w:r w:rsidR="0049071E">
        <w:t>Diplomarbeiten</w:t>
      </w:r>
      <w:r>
        <w:rPr>
          <w:rStyle w:val="Funotenzeichen"/>
        </w:rPr>
        <w:footnoteReference w:id="2"/>
      </w:r>
    </w:p>
    <w:p w:rsidR="0033410F" w:rsidRDefault="00F52EE6" w:rsidP="0033410F">
      <w:pPr>
        <w:pStyle w:val="berschrift1"/>
      </w:pPr>
      <w:r>
        <w:t>4</w:t>
      </w:r>
      <w:r w:rsidR="0040121B">
        <w:t xml:space="preserve">. </w:t>
      </w:r>
      <w:r w:rsidR="0033410F">
        <w:t>Artikel</w:t>
      </w:r>
    </w:p>
    <w:p w:rsidR="005D0141" w:rsidRPr="005D0141" w:rsidRDefault="005D0141" w:rsidP="00813F69">
      <w:pPr>
        <w:pStyle w:val="berschrift2"/>
      </w:pPr>
      <w:r>
        <w:t>In Büchern</w:t>
      </w:r>
    </w:p>
    <w:p w:rsidR="00E86694" w:rsidRDefault="00E86694" w:rsidP="00E4132D">
      <w:pPr>
        <w:pStyle w:val="berschrift2"/>
      </w:pPr>
      <w:proofErr w:type="spellStart"/>
      <w:r>
        <w:t>Ecolex</w:t>
      </w:r>
      <w:proofErr w:type="spellEnd"/>
    </w:p>
    <w:p w:rsidR="00E4132D" w:rsidRDefault="00813F69" w:rsidP="00E4132D">
      <w:pPr>
        <w:pStyle w:val="berschrift2"/>
      </w:pPr>
      <w:proofErr w:type="spellStart"/>
      <w:r>
        <w:t>Ö</w:t>
      </w:r>
      <w:r w:rsidR="00E65A02" w:rsidRPr="00E65A02">
        <w:t>ster</w:t>
      </w:r>
      <w:proofErr w:type="spellEnd"/>
      <w:r w:rsidR="00E65A02" w:rsidRPr="00E65A02">
        <w:t>. Zeitschrift Recht u Rechnungswesen</w:t>
      </w:r>
      <w:r>
        <w:t xml:space="preserve">( </w:t>
      </w:r>
      <w:r w:rsidR="00E4132D">
        <w:t>RWZ</w:t>
      </w:r>
      <w:r w:rsidR="00E65A02">
        <w:t>)</w:t>
      </w:r>
    </w:p>
    <w:p w:rsidR="00334325" w:rsidRDefault="00334325" w:rsidP="00334325">
      <w:pPr>
        <w:pStyle w:val="berschrift2"/>
      </w:pPr>
      <w:r>
        <w:t>Recht der Wirtschaft (RDW)</w:t>
      </w:r>
    </w:p>
    <w:p w:rsidR="00334325" w:rsidRDefault="00334325" w:rsidP="00334325">
      <w:pPr>
        <w:pStyle w:val="berschrift2"/>
      </w:pPr>
      <w:r>
        <w:t>Steuer- und Wirtschaftskartei (SWK)</w:t>
      </w:r>
    </w:p>
    <w:p w:rsidR="009E4ACC" w:rsidRPr="00D86473" w:rsidRDefault="009E4ACC" w:rsidP="009E4ACC">
      <w:pPr>
        <w:pStyle w:val="Standardeinzug"/>
        <w:ind w:left="357" w:hanging="357"/>
      </w:pPr>
      <w:bookmarkStart w:id="0" w:name="_GoBack"/>
      <w:proofErr w:type="spellStart"/>
      <w:r w:rsidRPr="00D86473">
        <w:t>Grbenic</w:t>
      </w:r>
      <w:proofErr w:type="spellEnd"/>
      <w:r w:rsidRPr="00D86473">
        <w:t>: „Standard-Transaktionsmultiplikatoren: Branchenorientierte Referenzwerte für die Bewe</w:t>
      </w:r>
      <w:r w:rsidRPr="00D86473">
        <w:t>r</w:t>
      </w:r>
      <w:r w:rsidRPr="00D86473">
        <w:t>tungspraxis (I) “, SWK 2015, 517</w:t>
      </w:r>
    </w:p>
    <w:p w:rsidR="009E4ACC" w:rsidRPr="00D86473" w:rsidRDefault="009E4ACC" w:rsidP="009E4ACC">
      <w:pPr>
        <w:pStyle w:val="Standardeinzug"/>
        <w:ind w:left="357" w:hanging="357"/>
      </w:pPr>
      <w:proofErr w:type="spellStart"/>
      <w:r w:rsidRPr="00D86473">
        <w:t>Grbenic</w:t>
      </w:r>
      <w:proofErr w:type="spellEnd"/>
      <w:r w:rsidRPr="00D86473">
        <w:t>: „Standard-Transaktionsmultiplikatoren: Branchenorientierte Referenzwerte für die Bewe</w:t>
      </w:r>
      <w:r w:rsidRPr="00D86473">
        <w:t>r</w:t>
      </w:r>
      <w:r w:rsidRPr="00D86473">
        <w:t>tungspraxis (II) “, SWK 2015, 571</w:t>
      </w:r>
    </w:p>
    <w:bookmarkEnd w:id="0"/>
    <w:p w:rsidR="00C42CFB" w:rsidRDefault="00C42CFB" w:rsidP="00C42CFB">
      <w:pPr>
        <w:pStyle w:val="berschrift2"/>
      </w:pPr>
      <w:r>
        <w:t>Der Sachverständige (SV)</w:t>
      </w:r>
    </w:p>
    <w:p w:rsidR="009E4ACC" w:rsidRDefault="009E4ACC" w:rsidP="009E4ACC">
      <w:pPr>
        <w:pStyle w:val="Standardeinzug"/>
        <w:ind w:left="357" w:hanging="357"/>
      </w:pPr>
      <w:proofErr w:type="spellStart"/>
      <w:r>
        <w:t>Enzlmüller</w:t>
      </w:r>
      <w:proofErr w:type="spellEnd"/>
      <w:r>
        <w:t>: „Worauf kommt es bei der Bewertung von Marken und Nutzungshonoraren in der Marketingpraxis an?</w:t>
      </w:r>
      <w:r w:rsidRPr="00C64CFF">
        <w:t xml:space="preserve"> </w:t>
      </w:r>
      <w:r>
        <w:t>“, SV 2015, 87</w:t>
      </w:r>
    </w:p>
    <w:p w:rsidR="009E4ACC" w:rsidRPr="009E4ACC" w:rsidRDefault="006D1480" w:rsidP="00F00015">
      <w:pPr>
        <w:pStyle w:val="Standardeinzug"/>
        <w:ind w:left="357" w:hanging="357"/>
      </w:pPr>
      <w:r>
        <w:lastRenderedPageBreak/>
        <w:t>Thoma: „</w:t>
      </w:r>
      <w:r w:rsidRPr="006D1480">
        <w:t>Der Sachverständigenbeweis in Verwaltungs- und verwaltungsgerichtlichen Verfahren</w:t>
      </w:r>
      <w:r>
        <w:t xml:space="preserve">“, </w:t>
      </w:r>
      <w:r w:rsidRPr="006D1480">
        <w:t>SV</w:t>
      </w:r>
      <w:r>
        <w:t xml:space="preserve"> </w:t>
      </w:r>
      <w:r w:rsidRPr="006D1480">
        <w:t>2015</w:t>
      </w:r>
      <w:r>
        <w:t xml:space="preserve">, </w:t>
      </w:r>
      <w:r w:rsidRPr="006D1480">
        <w:t>4</w:t>
      </w:r>
    </w:p>
    <w:p w:rsidR="00837EB6" w:rsidRDefault="00837EB6" w:rsidP="00C9094D">
      <w:pPr>
        <w:pStyle w:val="berschrift2"/>
      </w:pPr>
      <w:r>
        <w:t>Die Aktiengesellschaft (AG)</w:t>
      </w:r>
    </w:p>
    <w:p w:rsidR="00C8514B" w:rsidRDefault="00C8514B" w:rsidP="00C8514B">
      <w:pPr>
        <w:pStyle w:val="Standardeinzug"/>
      </w:pPr>
      <w:r>
        <w:t>Meyer, M: „Möglichkeiten und Grenzen der Einbeziehung nachträglich erlangter Informationen bei der Bewertung von Unternehmen“, AG 2015, 16</w:t>
      </w:r>
    </w:p>
    <w:p w:rsidR="00C64CFF" w:rsidRDefault="00C64CFF" w:rsidP="00C64CFF">
      <w:pPr>
        <w:pStyle w:val="Standardeinzug"/>
        <w:ind w:left="357" w:hanging="357"/>
      </w:pPr>
      <w:r>
        <w:t>OLG Frankfurt, 15.10.2014 - 21 W 64/13: Bestimmung der Barabfindung für Minderheitsaktionäre, AG 2015, 205</w:t>
      </w:r>
    </w:p>
    <w:p w:rsidR="00C64CFF" w:rsidRDefault="00C64CFF" w:rsidP="00C64CFF">
      <w:pPr>
        <w:pStyle w:val="Standardeinzug"/>
        <w:ind w:left="357" w:hanging="357"/>
      </w:pPr>
      <w:r>
        <w:t>OLG Frankfurt, 18.12.2014 - 21 W 34/12: Unternehmensbewertung, Abfindungsanspruch, Ene</w:t>
      </w:r>
      <w:r>
        <w:t>r</w:t>
      </w:r>
      <w:r>
        <w:t>gieversorger, AG 2015, 241</w:t>
      </w:r>
    </w:p>
    <w:p w:rsidR="00BE3D71" w:rsidRDefault="00BE3D71" w:rsidP="00BE3D71">
      <w:pPr>
        <w:pStyle w:val="Standardeinzug"/>
      </w:pPr>
      <w:r>
        <w:t xml:space="preserve">OLG Stuttgart, 17.3.2015 - 20 W 7/14: Ein Spruchverfahren betreffend ein im Rahmen eines </w:t>
      </w:r>
      <w:proofErr w:type="spellStart"/>
      <w:r>
        <w:t>Deli</w:t>
      </w:r>
      <w:r>
        <w:t>s</w:t>
      </w:r>
      <w:r>
        <w:t>ting</w:t>
      </w:r>
      <w:proofErr w:type="spellEnd"/>
      <w:r>
        <w:t xml:space="preserve"> abgegebenes Abfindungsangebot ist nicht statthaft, AG 2015, 321</w:t>
      </w:r>
    </w:p>
    <w:p w:rsidR="00DD6D26" w:rsidRDefault="00BE3D71" w:rsidP="00BE3D71">
      <w:pPr>
        <w:pStyle w:val="Standardeinzug"/>
      </w:pPr>
      <w:r>
        <w:t xml:space="preserve">OLG Stuttgart, 18.2.2015 - 20 W 8/14: Ein Spruchverfahren betreffend ein im Rahmen eines </w:t>
      </w:r>
      <w:proofErr w:type="spellStart"/>
      <w:r>
        <w:t>Deli</w:t>
      </w:r>
      <w:r>
        <w:t>s</w:t>
      </w:r>
      <w:r>
        <w:t>ting</w:t>
      </w:r>
      <w:proofErr w:type="spellEnd"/>
      <w:r>
        <w:t xml:space="preserve"> abgegebenes Abfindungsangebot ist nicht statthaft, AG 2015, 326</w:t>
      </w:r>
    </w:p>
    <w:p w:rsidR="0040121B" w:rsidRDefault="0040121B" w:rsidP="00C9094D">
      <w:pPr>
        <w:pStyle w:val="berschrift2"/>
      </w:pPr>
      <w:r>
        <w:t>Betriebsberater (BB)</w:t>
      </w:r>
    </w:p>
    <w:p w:rsidR="00BE3D71" w:rsidRDefault="00BE3D71" w:rsidP="00BE3D71">
      <w:pPr>
        <w:pStyle w:val="Standardeinzug"/>
      </w:pPr>
      <w:r>
        <w:t>Nestler: „‘Übliche Markenlizenzraten‘ - die Suche nach belastbaren Quellen für einen angemess</w:t>
      </w:r>
      <w:r>
        <w:t>e</w:t>
      </w:r>
      <w:r>
        <w:t>nen Wert“, BB 2015, 811</w:t>
      </w:r>
    </w:p>
    <w:p w:rsidR="0069798D" w:rsidRDefault="00BE3D71" w:rsidP="00BE3D71">
      <w:pPr>
        <w:pStyle w:val="Standardeinzug"/>
      </w:pPr>
      <w:proofErr w:type="spellStart"/>
      <w:r>
        <w:t>Ihlau</w:t>
      </w:r>
      <w:proofErr w:type="spellEnd"/>
      <w:r>
        <w:t xml:space="preserve"> </w:t>
      </w:r>
      <w:proofErr w:type="spellStart"/>
      <w:r>
        <w:t>ua</w:t>
      </w:r>
      <w:proofErr w:type="spellEnd"/>
      <w:r>
        <w:t>: „Länderrisiken in der Planungsrechnung und ihre Auswirkungen auf die Unternehmen</w:t>
      </w:r>
      <w:r>
        <w:t>s</w:t>
      </w:r>
      <w:r>
        <w:t>bewertung“, BB 2015, 1323</w:t>
      </w:r>
    </w:p>
    <w:p w:rsidR="0040121B" w:rsidRDefault="0040121B" w:rsidP="00C9094D">
      <w:pPr>
        <w:pStyle w:val="berschrift2"/>
      </w:pPr>
      <w:r>
        <w:t>Betriebswirtschaftliche Forschung und Praxis (</w:t>
      </w:r>
      <w:proofErr w:type="spellStart"/>
      <w:r>
        <w:t>BFuP</w:t>
      </w:r>
      <w:proofErr w:type="spellEnd"/>
      <w:r>
        <w:t>)</w:t>
      </w:r>
    </w:p>
    <w:p w:rsidR="00C64CFF" w:rsidRDefault="00C64CFF" w:rsidP="00C64CFF">
      <w:pPr>
        <w:pStyle w:val="Standardeinzug"/>
        <w:ind w:left="357" w:hanging="357"/>
      </w:pPr>
      <w:r>
        <w:t xml:space="preserve">Kirsch </w:t>
      </w:r>
      <w:proofErr w:type="spellStart"/>
      <w:r>
        <w:t>ua</w:t>
      </w:r>
      <w:proofErr w:type="spellEnd"/>
      <w:r>
        <w:t xml:space="preserve">: „Ausmaß der Fair Value-Bewertung eine deskriptive Analyse der Unternehmen des DAX 30“, </w:t>
      </w:r>
      <w:proofErr w:type="spellStart"/>
      <w:r>
        <w:t>BFuP</w:t>
      </w:r>
      <w:proofErr w:type="spellEnd"/>
      <w:r>
        <w:t xml:space="preserve"> 2015, 1</w:t>
      </w:r>
    </w:p>
    <w:p w:rsidR="005D0141" w:rsidRDefault="005D0141" w:rsidP="005D0141">
      <w:pPr>
        <w:pStyle w:val="berschrift2"/>
      </w:pPr>
      <w:r>
        <w:t>Bewertungspraxis</w:t>
      </w:r>
      <w:r w:rsidR="00E65A02">
        <w:t xml:space="preserve"> (BP)</w:t>
      </w:r>
    </w:p>
    <w:p w:rsidR="009E4ACC" w:rsidRDefault="009E4ACC" w:rsidP="009E4ACC">
      <w:pPr>
        <w:pStyle w:val="Standardeinzug"/>
        <w:ind w:left="357" w:hanging="357"/>
      </w:pPr>
      <w:proofErr w:type="spellStart"/>
      <w:r>
        <w:t>Creutzmann</w:t>
      </w:r>
      <w:proofErr w:type="spellEnd"/>
      <w:r>
        <w:t xml:space="preserve">: „Quo </w:t>
      </w:r>
      <w:proofErr w:type="spellStart"/>
      <w:r>
        <w:t>Vadis</w:t>
      </w:r>
      <w:proofErr w:type="spellEnd"/>
      <w:r>
        <w:t xml:space="preserve"> Basiszinssatz und DAX“, BP 2015, 1</w:t>
      </w:r>
    </w:p>
    <w:p w:rsidR="009E4ACC" w:rsidRDefault="009E4ACC" w:rsidP="009E4ACC">
      <w:pPr>
        <w:pStyle w:val="Standardeinzug"/>
        <w:ind w:left="357" w:hanging="357"/>
      </w:pPr>
      <w:r>
        <w:t>Ruiz de Vargas  / Breuer: „Unternehmensbewertung im internationalen Kontext mit dem globalen CAPM, Teil 1“, BP 2015, 2</w:t>
      </w:r>
    </w:p>
    <w:p w:rsidR="009E4ACC" w:rsidRDefault="009E4ACC" w:rsidP="009E4ACC">
      <w:pPr>
        <w:pStyle w:val="Standardeinzug"/>
        <w:ind w:left="357" w:hanging="357"/>
      </w:pPr>
      <w:r>
        <w:t xml:space="preserve">Knoll </w:t>
      </w:r>
      <w:proofErr w:type="spellStart"/>
      <w:r>
        <w:t>ua</w:t>
      </w:r>
      <w:proofErr w:type="spellEnd"/>
      <w:r>
        <w:t>: „Zinszuschläge und Unternehmenswert: Vorsicht Konvexität“, BP 2015, 14</w:t>
      </w:r>
    </w:p>
    <w:p w:rsidR="009E4ACC" w:rsidRDefault="009E4ACC" w:rsidP="009E4ACC">
      <w:pPr>
        <w:pStyle w:val="Standardeinzug"/>
        <w:ind w:left="357" w:hanging="357"/>
      </w:pPr>
      <w:r>
        <w:t xml:space="preserve">Behling: „Kapitalstrukturrisiko und </w:t>
      </w:r>
      <w:proofErr w:type="spellStart"/>
      <w:r>
        <w:t>Tax</w:t>
      </w:r>
      <w:proofErr w:type="spellEnd"/>
      <w:r>
        <w:t xml:space="preserve"> </w:t>
      </w:r>
      <w:proofErr w:type="spellStart"/>
      <w:r>
        <w:t>shields</w:t>
      </w:r>
      <w:proofErr w:type="spellEnd"/>
      <w:r>
        <w:t>“, BP 2015, 18</w:t>
      </w:r>
    </w:p>
    <w:p w:rsidR="009E4ACC" w:rsidRDefault="009E4ACC" w:rsidP="009E4ACC">
      <w:pPr>
        <w:pStyle w:val="Standardeinzug"/>
        <w:ind w:left="357" w:hanging="357"/>
      </w:pPr>
      <w:proofErr w:type="spellStart"/>
      <w:r>
        <w:t>Allert</w:t>
      </w:r>
      <w:proofErr w:type="spellEnd"/>
      <w:r>
        <w:t>: „Verhandeln von Unternehmenswerten“, BP 2015, 27</w:t>
      </w:r>
    </w:p>
    <w:p w:rsidR="009E4ACC" w:rsidRDefault="009E4ACC" w:rsidP="009E4ACC">
      <w:pPr>
        <w:pStyle w:val="Standardeinzug"/>
        <w:ind w:left="357" w:hanging="357"/>
      </w:pPr>
      <w:r>
        <w:t xml:space="preserve">Schnabel / </w:t>
      </w:r>
      <w:proofErr w:type="spellStart"/>
      <w:r>
        <w:t>Köritz</w:t>
      </w:r>
      <w:proofErr w:type="spellEnd"/>
      <w:r>
        <w:t>: „Ermittlung der Barabfindung bei vorangegangenem Unternehmensvertrag“, BP 2015, 38</w:t>
      </w:r>
    </w:p>
    <w:p w:rsidR="00C179A3" w:rsidRDefault="00C179A3" w:rsidP="008A3799">
      <w:pPr>
        <w:pStyle w:val="berschrift2"/>
      </w:pPr>
      <w:r>
        <w:t xml:space="preserve">Corporate </w:t>
      </w:r>
      <w:proofErr w:type="spellStart"/>
      <w:r>
        <w:t>Finance</w:t>
      </w:r>
      <w:proofErr w:type="spellEnd"/>
      <w:r>
        <w:t xml:space="preserve"> (C</w:t>
      </w:r>
      <w:r w:rsidR="00B85749">
        <w:t>F</w:t>
      </w:r>
      <w:r>
        <w:t>)</w:t>
      </w:r>
    </w:p>
    <w:p w:rsidR="009E4ACC" w:rsidRDefault="009E4ACC" w:rsidP="009E4ACC">
      <w:pPr>
        <w:pStyle w:val="Standardeinzug"/>
        <w:ind w:left="357" w:hanging="357"/>
      </w:pPr>
      <w:r>
        <w:t xml:space="preserve">Scholtz: „Ist das systematische Risiko </w:t>
      </w:r>
      <w:proofErr w:type="spellStart"/>
      <w:r>
        <w:t>diversifizierbar</w:t>
      </w:r>
      <w:proofErr w:type="spellEnd"/>
      <w:r>
        <w:t>? - Darstellung eines Portfoliomodells, das das Systemrisiko eliminiert“, CF 2015, 83</w:t>
      </w:r>
    </w:p>
    <w:p w:rsidR="009E4ACC" w:rsidRDefault="009E4ACC" w:rsidP="009E4ACC">
      <w:pPr>
        <w:pStyle w:val="Standardeinzug"/>
        <w:ind w:left="357" w:hanging="357"/>
      </w:pPr>
      <w:proofErr w:type="spellStart"/>
      <w:r>
        <w:t>Castedello</w:t>
      </w:r>
      <w:proofErr w:type="spellEnd"/>
      <w:r>
        <w:t xml:space="preserve"> /Schöniger: „Kapitalkosten in Zeiten sich wandelnder Geschäftsmodelle“, CF</w:t>
      </w:r>
      <w:r>
        <w:tab/>
        <w:t>2015, 92</w:t>
      </w:r>
    </w:p>
    <w:p w:rsidR="009E4ACC" w:rsidRDefault="009E4ACC" w:rsidP="009E4ACC">
      <w:pPr>
        <w:pStyle w:val="Standardeinzug"/>
        <w:ind w:left="357" w:hanging="357"/>
      </w:pPr>
      <w:proofErr w:type="spellStart"/>
      <w:r>
        <w:t>Rowoldt</w:t>
      </w:r>
      <w:proofErr w:type="spellEnd"/>
      <w:r>
        <w:t xml:space="preserve"> / Pillen: „Anwendung des CAPM in der Unternehmenspraxis“, CF 2015, 115</w:t>
      </w:r>
    </w:p>
    <w:p w:rsidR="0079701E" w:rsidRDefault="0079701E" w:rsidP="00C8514B">
      <w:pPr>
        <w:pStyle w:val="Standardeinzug"/>
        <w:ind w:left="357" w:hanging="357"/>
      </w:pPr>
      <w:proofErr w:type="spellStart"/>
      <w:r>
        <w:t>Gleißner</w:t>
      </w:r>
      <w:proofErr w:type="spellEnd"/>
      <w:r>
        <w:t xml:space="preserve">: „Preis ist nicht Wert und Bewertung nicht Preisschätzung - verdeutlicht an der Kritik am Total Beta - Zugleich Stellungnahme zu </w:t>
      </w:r>
      <w:proofErr w:type="spellStart"/>
      <w:r>
        <w:t>Kruschwitz</w:t>
      </w:r>
      <w:proofErr w:type="spellEnd"/>
      <w:r>
        <w:t>/Löffler, CF 2014 S. 263 (267)</w:t>
      </w:r>
      <w:r w:rsidRPr="0079701E">
        <w:t xml:space="preserve"> </w:t>
      </w:r>
      <w:r>
        <w:t>", CF 2015, 167</w:t>
      </w:r>
    </w:p>
    <w:p w:rsidR="0079701E" w:rsidRDefault="0079701E" w:rsidP="00C8514B">
      <w:pPr>
        <w:pStyle w:val="Standardeinzug"/>
        <w:ind w:left="357" w:hanging="357"/>
      </w:pPr>
      <w:proofErr w:type="spellStart"/>
      <w:r>
        <w:t>Kruschwitz</w:t>
      </w:r>
      <w:proofErr w:type="spellEnd"/>
      <w:r>
        <w:t xml:space="preserve"> / Löffler: „Preise, Werte und Arbitragefreiheit: Erwiderung auf </w:t>
      </w:r>
      <w:proofErr w:type="spellStart"/>
      <w:r>
        <w:t>Gleißner</w:t>
      </w:r>
      <w:proofErr w:type="spellEnd"/>
      <w:r>
        <w:t>", CF 2015, 176</w:t>
      </w:r>
    </w:p>
    <w:p w:rsidR="009E4ACC" w:rsidRPr="009E4ACC" w:rsidRDefault="0079701E" w:rsidP="00C8514B">
      <w:pPr>
        <w:pStyle w:val="Standardeinzug"/>
        <w:ind w:left="357" w:hanging="357"/>
      </w:pPr>
      <w:proofErr w:type="spellStart"/>
      <w:r>
        <w:t>Gleißner</w:t>
      </w:r>
      <w:proofErr w:type="spellEnd"/>
      <w:r>
        <w:t>: „Duplik zu „Preise, Werte und Arbitragefreiheit", CF 2015, 182</w:t>
      </w:r>
    </w:p>
    <w:p w:rsidR="008A3799" w:rsidRDefault="008A3799" w:rsidP="008A3799">
      <w:pPr>
        <w:pStyle w:val="berschrift2"/>
      </w:pPr>
      <w:r>
        <w:t>Der Betrieb (DB)</w:t>
      </w:r>
    </w:p>
    <w:p w:rsidR="00B85749" w:rsidRDefault="00B85749" w:rsidP="00E65A02">
      <w:pPr>
        <w:pStyle w:val="berschrift2"/>
      </w:pPr>
      <w:r w:rsidRPr="00B85749">
        <w:t>Deutsches Steuerrecht</w:t>
      </w:r>
      <w:r>
        <w:t xml:space="preserve"> (</w:t>
      </w:r>
      <w:proofErr w:type="spellStart"/>
      <w:r>
        <w:t>DStR</w:t>
      </w:r>
      <w:proofErr w:type="spellEnd"/>
      <w:r>
        <w:t>)</w:t>
      </w:r>
    </w:p>
    <w:p w:rsidR="009E4ACC" w:rsidRDefault="009E4ACC" w:rsidP="00C8514B">
      <w:pPr>
        <w:pStyle w:val="berschrift3"/>
      </w:pPr>
      <w:r>
        <w:t>Nachtrag 2014</w:t>
      </w:r>
    </w:p>
    <w:p w:rsidR="009E4ACC" w:rsidRDefault="009E4ACC" w:rsidP="00F00015">
      <w:pPr>
        <w:pStyle w:val="Standardeinzug"/>
        <w:ind w:left="357" w:hanging="357"/>
      </w:pPr>
      <w:r>
        <w:t xml:space="preserve">Wollny: „Mindestwertregel und Konzernbewertung“, </w:t>
      </w:r>
      <w:proofErr w:type="spellStart"/>
      <w:r>
        <w:t>DStR</w:t>
      </w:r>
      <w:proofErr w:type="spellEnd"/>
      <w:r w:rsidR="00EB5EBB">
        <w:t xml:space="preserve"> </w:t>
      </w:r>
      <w:r>
        <w:t>2014</w:t>
      </w:r>
      <w:r w:rsidR="00EB5EBB">
        <w:t xml:space="preserve">, </w:t>
      </w:r>
      <w:r>
        <w:t>2089</w:t>
      </w:r>
    </w:p>
    <w:p w:rsidR="009E4ACC" w:rsidRPr="009E4ACC" w:rsidRDefault="009E4ACC" w:rsidP="00F00015">
      <w:pPr>
        <w:pStyle w:val="Standardeinzug"/>
        <w:ind w:left="357" w:hanging="357"/>
      </w:pPr>
      <w:r>
        <w:lastRenderedPageBreak/>
        <w:t xml:space="preserve">Müller </w:t>
      </w:r>
      <w:proofErr w:type="spellStart"/>
      <w:r>
        <w:t>ua</w:t>
      </w:r>
      <w:proofErr w:type="spellEnd"/>
      <w:r>
        <w:t xml:space="preserve">: „Erweiterungen und Konkretisierungen beim </w:t>
      </w:r>
      <w:proofErr w:type="spellStart"/>
      <w:r>
        <w:t>impairment</w:t>
      </w:r>
      <w:proofErr w:type="spellEnd"/>
      <w:r>
        <w:t xml:space="preserve">-Test durch IDW ERS HFA 40 im Vergleich zum bestehenden IDW RS HFA 16“, </w:t>
      </w:r>
      <w:proofErr w:type="spellStart"/>
      <w:r>
        <w:t>DStR</w:t>
      </w:r>
      <w:proofErr w:type="spellEnd"/>
      <w:r w:rsidR="00EB5EBB">
        <w:t xml:space="preserve"> </w:t>
      </w:r>
      <w:r>
        <w:t>2014</w:t>
      </w:r>
      <w:r w:rsidR="00EB5EBB">
        <w:t xml:space="preserve">, </w:t>
      </w:r>
      <w:r>
        <w:t>2251</w:t>
      </w:r>
    </w:p>
    <w:p w:rsidR="00C179A3" w:rsidRDefault="00C179A3" w:rsidP="00E65A02">
      <w:pPr>
        <w:pStyle w:val="berschrift2"/>
      </w:pPr>
      <w:r>
        <w:t>Der Sachverständige (SV)</w:t>
      </w:r>
    </w:p>
    <w:p w:rsidR="00466479" w:rsidRDefault="00466479" w:rsidP="00E65A02">
      <w:pPr>
        <w:pStyle w:val="berschrift2"/>
      </w:pPr>
      <w:r>
        <w:t>CH-Treu</w:t>
      </w:r>
    </w:p>
    <w:p w:rsidR="00837EB6" w:rsidRDefault="00837EB6" w:rsidP="00E65A02">
      <w:pPr>
        <w:pStyle w:val="berschrift2"/>
      </w:pPr>
      <w:r w:rsidRPr="00E65A02">
        <w:t>Wirtschaftswissenschaftliches Studium</w:t>
      </w:r>
      <w:r>
        <w:t xml:space="preserve"> (</w:t>
      </w:r>
      <w:proofErr w:type="spellStart"/>
      <w:r>
        <w:t>WiSt</w:t>
      </w:r>
      <w:proofErr w:type="spellEnd"/>
      <w:r>
        <w:t>)</w:t>
      </w:r>
    </w:p>
    <w:p w:rsidR="0079701E" w:rsidRDefault="0079701E" w:rsidP="0079701E">
      <w:pPr>
        <w:pStyle w:val="Standardeinzug"/>
      </w:pPr>
      <w:proofErr w:type="spellStart"/>
      <w:r>
        <w:t>Antonczyk</w:t>
      </w:r>
      <w:proofErr w:type="spellEnd"/>
      <w:r>
        <w:t xml:space="preserve">: „Das aktuelle Stichwort: Unternehmensbewertung“, </w:t>
      </w:r>
      <w:proofErr w:type="spellStart"/>
      <w:r>
        <w:t>WiSt</w:t>
      </w:r>
      <w:proofErr w:type="spellEnd"/>
      <w:r>
        <w:t xml:space="preserve"> 2015, 205</w:t>
      </w:r>
    </w:p>
    <w:p w:rsidR="0079701E" w:rsidRDefault="0079701E" w:rsidP="0079701E">
      <w:pPr>
        <w:pStyle w:val="Standardeinzug"/>
      </w:pPr>
      <w:proofErr w:type="spellStart"/>
      <w:r>
        <w:t>Gleißner</w:t>
      </w:r>
      <w:proofErr w:type="spellEnd"/>
      <w:r>
        <w:t>: „Risikoanalyse und Replikation für Unternehmensbewertung und wertorientierte Unte</w:t>
      </w:r>
      <w:r>
        <w:t>r</w:t>
      </w:r>
      <w:r>
        <w:t xml:space="preserve">nehmenssteuerung“, </w:t>
      </w:r>
      <w:proofErr w:type="spellStart"/>
      <w:r>
        <w:t>WiSt</w:t>
      </w:r>
      <w:proofErr w:type="spellEnd"/>
      <w:r>
        <w:t>, 2015, 345</w:t>
      </w:r>
    </w:p>
    <w:p w:rsidR="00837EB6" w:rsidRDefault="0079701E" w:rsidP="0079701E">
      <w:pPr>
        <w:pStyle w:val="Standardeinzug"/>
      </w:pPr>
      <w:r>
        <w:t xml:space="preserve">Kalayci / Sommer: „Bewertung von Synergien bei Unternehmensakquisitionen“, </w:t>
      </w:r>
      <w:proofErr w:type="spellStart"/>
      <w:r>
        <w:t>WiSt</w:t>
      </w:r>
      <w:proofErr w:type="spellEnd"/>
      <w:r>
        <w:t xml:space="preserve"> 2015, 134</w:t>
      </w:r>
    </w:p>
    <w:p w:rsidR="00837EB6" w:rsidRDefault="00837EB6" w:rsidP="00175E4C">
      <w:pPr>
        <w:pStyle w:val="berschrift2"/>
      </w:pPr>
      <w:r>
        <w:t>Die Wirtschaftsprüfung (</w:t>
      </w:r>
      <w:proofErr w:type="spellStart"/>
      <w:r>
        <w:t>WPg</w:t>
      </w:r>
      <w:proofErr w:type="spellEnd"/>
      <w:r>
        <w:t>)</w:t>
      </w:r>
    </w:p>
    <w:p w:rsidR="009E4ACC" w:rsidRDefault="009E4ACC" w:rsidP="009E4ACC">
      <w:pPr>
        <w:pStyle w:val="Standardeinzug"/>
        <w:ind w:left="357" w:hanging="357"/>
      </w:pPr>
      <w:proofErr w:type="spellStart"/>
      <w:r>
        <w:t>Gleißner</w:t>
      </w:r>
      <w:proofErr w:type="spellEnd"/>
      <w:r>
        <w:t>: „Börsenkurs und „wahrer Wert" in Abfindungs-fällen Aktien- versus Unternehmensb</w:t>
      </w:r>
      <w:r>
        <w:t>e</w:t>
      </w:r>
      <w:r>
        <w:t xml:space="preserve">wertung, Anwendbarkeit des CAPM und Ertragsrisiko“, </w:t>
      </w:r>
      <w:proofErr w:type="spellStart"/>
      <w:r>
        <w:t>WPg</w:t>
      </w:r>
      <w:proofErr w:type="spellEnd"/>
      <w:r>
        <w:t xml:space="preserve"> 2015, 72</w:t>
      </w:r>
    </w:p>
    <w:p w:rsidR="00C8514B" w:rsidRDefault="00C8514B" w:rsidP="00C8514B">
      <w:pPr>
        <w:pStyle w:val="Standardeinzug"/>
        <w:ind w:left="357" w:hanging="357"/>
      </w:pPr>
      <w:proofErr w:type="spellStart"/>
      <w:r>
        <w:t>Kasperzak</w:t>
      </w:r>
      <w:proofErr w:type="spellEnd"/>
      <w:r>
        <w:t xml:space="preserve"> / </w:t>
      </w:r>
      <w:proofErr w:type="spellStart"/>
      <w:r>
        <w:t>Bastini</w:t>
      </w:r>
      <w:proofErr w:type="spellEnd"/>
      <w:r>
        <w:t xml:space="preserve">: „Unternehmensbewertung zum Liquidationswert - Gesellschaftsrechtliche Anlässe, Rechtsprechung und Bemessung“, </w:t>
      </w:r>
      <w:proofErr w:type="spellStart"/>
      <w:r>
        <w:t>WPg</w:t>
      </w:r>
      <w:proofErr w:type="spellEnd"/>
      <w:r>
        <w:t xml:space="preserve"> 2015, 285</w:t>
      </w:r>
    </w:p>
    <w:p w:rsidR="00C8514B" w:rsidRDefault="00C8514B" w:rsidP="00C8514B">
      <w:pPr>
        <w:pStyle w:val="Standardeinzug"/>
        <w:ind w:left="357" w:hanging="357"/>
      </w:pPr>
      <w:r>
        <w:t xml:space="preserve">Knoll: „Wertrelevanz des Ausschüttungsverhaltens bei objektivierter Unternehmensbewertung - Anmerkungen zum Beitrag von Schultze/Fischer, </w:t>
      </w:r>
      <w:proofErr w:type="spellStart"/>
      <w:r>
        <w:t>WPg</w:t>
      </w:r>
      <w:proofErr w:type="spellEnd"/>
      <w:r>
        <w:t xml:space="preserve"> 2013, S. 421-436“, </w:t>
      </w:r>
      <w:proofErr w:type="spellStart"/>
      <w:r>
        <w:t>WPg</w:t>
      </w:r>
      <w:proofErr w:type="spellEnd"/>
      <w:r>
        <w:t xml:space="preserve"> 2015, 327</w:t>
      </w:r>
    </w:p>
    <w:p w:rsidR="009E4ACC" w:rsidRDefault="009E4ACC" w:rsidP="009E4ACC">
      <w:pPr>
        <w:pStyle w:val="Standardeinzug"/>
        <w:ind w:left="357" w:hanging="357"/>
      </w:pPr>
      <w:r>
        <w:t xml:space="preserve">Ranker: „Die Bewertung von Ein-Objekt-Gesellschaften - Zusammenwirken von IDW S 1 und IDW S 10“, </w:t>
      </w:r>
      <w:proofErr w:type="spellStart"/>
      <w:r>
        <w:t>WPg</w:t>
      </w:r>
      <w:proofErr w:type="spellEnd"/>
      <w:r>
        <w:t xml:space="preserve"> 2015, 278</w:t>
      </w:r>
    </w:p>
    <w:p w:rsidR="009E4ACC" w:rsidRPr="00034ECF" w:rsidRDefault="009E4ACC" w:rsidP="009E4ACC">
      <w:pPr>
        <w:pStyle w:val="Standardeinzug"/>
        <w:ind w:left="357" w:hanging="357"/>
      </w:pPr>
      <w:r>
        <w:t xml:space="preserve">Schultze / Fischer: „Zur Wertrelevanz des Ausschüttungsverhaltens im Rahmen der objektivierten Unternehmensbewertung - Anmerkungen zum Beitrag von Knoll, </w:t>
      </w:r>
      <w:proofErr w:type="spellStart"/>
      <w:r>
        <w:t>WPg</w:t>
      </w:r>
      <w:proofErr w:type="spellEnd"/>
      <w:r>
        <w:t xml:space="preserve"> 2015, S. 327-331“, </w:t>
      </w:r>
      <w:proofErr w:type="spellStart"/>
      <w:r>
        <w:t>WPg</w:t>
      </w:r>
      <w:proofErr w:type="spellEnd"/>
      <w:r>
        <w:t xml:space="preserve"> 2015, 332</w:t>
      </w:r>
    </w:p>
    <w:p w:rsidR="00E55947" w:rsidRDefault="00F52EE6" w:rsidP="00334325">
      <w:pPr>
        <w:pStyle w:val="berschrift1"/>
      </w:pPr>
      <w:r>
        <w:t xml:space="preserve">5. </w:t>
      </w:r>
      <w:r w:rsidR="00E55947">
        <w:t>Judikate</w:t>
      </w:r>
    </w:p>
    <w:p w:rsidR="00334325" w:rsidRDefault="00334325" w:rsidP="00334325">
      <w:pPr>
        <w:pStyle w:val="Standardeinzug"/>
        <w:ind w:left="357" w:hanging="357"/>
      </w:pPr>
    </w:p>
    <w:sectPr w:rsidR="00334325" w:rsidSect="009F6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8" w:right="1361" w:bottom="1134" w:left="1361" w:header="567" w:footer="567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D7" w:rsidRDefault="001F37D7">
      <w:pPr>
        <w:spacing w:after="0"/>
      </w:pPr>
      <w:r>
        <w:separator/>
      </w:r>
    </w:p>
  </w:endnote>
  <w:endnote w:type="continuationSeparator" w:id="0">
    <w:p w:rsidR="001F37D7" w:rsidRDefault="001F3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B" w:rsidRDefault="00C851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B" w:rsidRDefault="00C851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B" w:rsidRDefault="00C851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D7" w:rsidRDefault="001F37D7">
      <w:pPr>
        <w:spacing w:after="0"/>
      </w:pPr>
      <w:r>
        <w:separator/>
      </w:r>
    </w:p>
  </w:footnote>
  <w:footnote w:type="continuationSeparator" w:id="0">
    <w:p w:rsidR="001F37D7" w:rsidRDefault="001F37D7">
      <w:pPr>
        <w:spacing w:after="0"/>
      </w:pPr>
      <w:r>
        <w:continuationSeparator/>
      </w:r>
    </w:p>
  </w:footnote>
  <w:footnote w:id="1">
    <w:p w:rsidR="00B85749" w:rsidRPr="00B85749" w:rsidRDefault="00B85749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ab/>
        <w:t xml:space="preserve">Nur soweit am </w:t>
      </w:r>
      <w:r w:rsidR="00F00015">
        <w:rPr>
          <w:lang w:val="de-AT"/>
        </w:rPr>
        <w:t>15</w:t>
      </w:r>
      <w:r>
        <w:rPr>
          <w:lang w:val="de-AT"/>
        </w:rPr>
        <w:t>.</w:t>
      </w:r>
      <w:r w:rsidR="00F00015">
        <w:rPr>
          <w:lang w:val="de-AT"/>
        </w:rPr>
        <w:t>6</w:t>
      </w:r>
      <w:r>
        <w:rPr>
          <w:lang w:val="de-AT"/>
        </w:rPr>
        <w:t>.201</w:t>
      </w:r>
      <w:r w:rsidR="00E22A4C">
        <w:rPr>
          <w:lang w:val="de-AT"/>
        </w:rPr>
        <w:t>5</w:t>
      </w:r>
      <w:r>
        <w:rPr>
          <w:lang w:val="de-AT"/>
        </w:rPr>
        <w:t xml:space="preserve"> im der Datenbank des österreichischen </w:t>
      </w:r>
      <w:proofErr w:type="spellStart"/>
      <w:r>
        <w:rPr>
          <w:lang w:val="de-AT"/>
        </w:rPr>
        <w:t>Bibliothekenverbundes</w:t>
      </w:r>
      <w:proofErr w:type="spellEnd"/>
      <w:r>
        <w:rPr>
          <w:lang w:val="de-AT"/>
        </w:rPr>
        <w:t xml:space="preserve"> </w:t>
      </w:r>
      <w:r w:rsidR="00E22A4C">
        <w:rPr>
          <w:lang w:val="de-AT"/>
        </w:rPr>
        <w:t>oder der Liste der lieferbaren Bücher (</w:t>
      </w:r>
      <w:hyperlink r:id="rId1" w:history="1">
        <w:r w:rsidR="00E22A4C" w:rsidRPr="004407E8">
          <w:rPr>
            <w:rStyle w:val="Hyperlink"/>
            <w:rFonts w:ascii="Times New Roman" w:hAnsi="Times New Roman"/>
            <w:sz w:val="20"/>
            <w:lang w:val="de-AT"/>
          </w:rPr>
          <w:t>http://www.buchmarkt.at/</w:t>
        </w:r>
      </w:hyperlink>
      <w:r w:rsidR="00E22A4C">
        <w:rPr>
          <w:lang w:val="de-AT"/>
        </w:rPr>
        <w:t>) erfasst</w:t>
      </w:r>
      <w:r>
        <w:rPr>
          <w:lang w:val="de-AT"/>
        </w:rPr>
        <w:t>.</w:t>
      </w:r>
    </w:p>
  </w:footnote>
  <w:footnote w:id="2">
    <w:p w:rsidR="00837EB6" w:rsidRPr="00837EB6" w:rsidRDefault="00837EB6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ab/>
        <w:t xml:space="preserve">Nur soweit am </w:t>
      </w:r>
      <w:r w:rsidR="00C8514B">
        <w:rPr>
          <w:lang w:val="de-AT"/>
        </w:rPr>
        <w:t>15.6.2015</w:t>
      </w:r>
      <w:r w:rsidR="00E22A4C">
        <w:rPr>
          <w:lang w:val="de-AT"/>
        </w:rPr>
        <w:t xml:space="preserve"> </w:t>
      </w:r>
      <w:r>
        <w:rPr>
          <w:lang w:val="de-AT"/>
        </w:rPr>
        <w:t xml:space="preserve"> im der Datenbank des österreichischen </w:t>
      </w:r>
      <w:proofErr w:type="spellStart"/>
      <w:r>
        <w:rPr>
          <w:lang w:val="de-AT"/>
        </w:rPr>
        <w:t>Bibliothekenverbundes</w:t>
      </w:r>
      <w:proofErr w:type="spellEnd"/>
      <w:r>
        <w:rPr>
          <w:lang w:val="de-AT"/>
        </w:rPr>
        <w:t xml:space="preserve"> erfasst.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B" w:rsidRDefault="00C851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6C" w:rsidRDefault="006D4A6C" w:rsidP="00EF1892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D86473">
      <w:rPr>
        <w:noProof/>
      </w:rPr>
      <w:t>- 3 -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6C" w:rsidRDefault="0040121B" w:rsidP="00B85749">
    <w:pPr>
      <w:pStyle w:val="Kopfzeile"/>
      <w:ind w:firstLine="0"/>
    </w:pPr>
    <w:r>
      <w:t>Literatur</w:t>
    </w:r>
    <w:r w:rsidR="00B85749">
      <w:t>neuerscheinungen</w:t>
    </w:r>
    <w:r>
      <w:t xml:space="preserve"> Unternehmensbewertung</w:t>
    </w:r>
    <w:r w:rsidR="00B85749">
      <w:t xml:space="preserve"> </w:t>
    </w:r>
    <w:r w:rsidR="00C8514B">
      <w:t xml:space="preserve">1. HJ </w:t>
    </w:r>
    <w:r w:rsidR="00B85749">
      <w:t>201</w:t>
    </w:r>
    <w:r w:rsidR="00B6108C">
      <w:t>5</w:t>
    </w:r>
    <w:r>
      <w:tab/>
      <w:t>Stand: 1</w:t>
    </w:r>
    <w:r w:rsidR="009654D1">
      <w:t>5</w:t>
    </w:r>
    <w:r>
      <w:t>.</w:t>
    </w:r>
    <w:r w:rsidR="009654D1">
      <w:t>6</w:t>
    </w:r>
    <w:r>
      <w:t>.201</w:t>
    </w:r>
    <w:r w:rsidR="00C8514B">
      <w:t>5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B44A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8AA9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628C1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020A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417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60E6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42A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8D81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EE3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5AB4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66312"/>
    <w:multiLevelType w:val="multilevel"/>
    <w:tmpl w:val="FDBA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8E750AB"/>
    <w:multiLevelType w:val="hybridMultilevel"/>
    <w:tmpl w:val="F5C63A6A"/>
    <w:lvl w:ilvl="0" w:tplc="47DE8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8389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A53A2"/>
    <w:multiLevelType w:val="hybridMultilevel"/>
    <w:tmpl w:val="42041776"/>
    <w:lvl w:ilvl="0" w:tplc="47DE83E0">
      <w:start w:val="1"/>
      <w:numFmt w:val="bullet"/>
      <w:pStyle w:val="Standardeinzu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3A"/>
    <w:rsid w:val="000044D5"/>
    <w:rsid w:val="0001052E"/>
    <w:rsid w:val="0003028A"/>
    <w:rsid w:val="00034ECF"/>
    <w:rsid w:val="000668AC"/>
    <w:rsid w:val="000676FF"/>
    <w:rsid w:val="00071864"/>
    <w:rsid w:val="000718FB"/>
    <w:rsid w:val="000869DD"/>
    <w:rsid w:val="00087E7A"/>
    <w:rsid w:val="00094728"/>
    <w:rsid w:val="000A0C03"/>
    <w:rsid w:val="000B171C"/>
    <w:rsid w:val="000B3482"/>
    <w:rsid w:val="000B7EEC"/>
    <w:rsid w:val="000C2A40"/>
    <w:rsid w:val="000C7E88"/>
    <w:rsid w:val="000E2558"/>
    <w:rsid w:val="000F0171"/>
    <w:rsid w:val="000F5945"/>
    <w:rsid w:val="00101EAD"/>
    <w:rsid w:val="00111848"/>
    <w:rsid w:val="001133C3"/>
    <w:rsid w:val="001141EB"/>
    <w:rsid w:val="001151E2"/>
    <w:rsid w:val="00126220"/>
    <w:rsid w:val="0012716B"/>
    <w:rsid w:val="00134560"/>
    <w:rsid w:val="0014209B"/>
    <w:rsid w:val="00152E74"/>
    <w:rsid w:val="00157813"/>
    <w:rsid w:val="00164204"/>
    <w:rsid w:val="00174ED3"/>
    <w:rsid w:val="00175E4C"/>
    <w:rsid w:val="00194084"/>
    <w:rsid w:val="001A1950"/>
    <w:rsid w:val="001A1AA9"/>
    <w:rsid w:val="001A5924"/>
    <w:rsid w:val="001C2117"/>
    <w:rsid w:val="001C4CA9"/>
    <w:rsid w:val="001C4D51"/>
    <w:rsid w:val="001D0F49"/>
    <w:rsid w:val="001E0D44"/>
    <w:rsid w:val="001F141C"/>
    <w:rsid w:val="001F37D7"/>
    <w:rsid w:val="00204336"/>
    <w:rsid w:val="00212FE4"/>
    <w:rsid w:val="00217F82"/>
    <w:rsid w:val="00235221"/>
    <w:rsid w:val="002359F5"/>
    <w:rsid w:val="00245569"/>
    <w:rsid w:val="002455B2"/>
    <w:rsid w:val="00277CBE"/>
    <w:rsid w:val="00283FF2"/>
    <w:rsid w:val="00295862"/>
    <w:rsid w:val="002A3A90"/>
    <w:rsid w:val="002B20E9"/>
    <w:rsid w:val="002C1218"/>
    <w:rsid w:val="002C7F55"/>
    <w:rsid w:val="002D5EFF"/>
    <w:rsid w:val="002F0F9C"/>
    <w:rsid w:val="002F280F"/>
    <w:rsid w:val="003042E5"/>
    <w:rsid w:val="003055E3"/>
    <w:rsid w:val="0033410F"/>
    <w:rsid w:val="00334325"/>
    <w:rsid w:val="00335E7C"/>
    <w:rsid w:val="00345D09"/>
    <w:rsid w:val="0035524C"/>
    <w:rsid w:val="003603F9"/>
    <w:rsid w:val="003727CD"/>
    <w:rsid w:val="00377E6C"/>
    <w:rsid w:val="00381CAE"/>
    <w:rsid w:val="0038252E"/>
    <w:rsid w:val="00392A8E"/>
    <w:rsid w:val="003B6E96"/>
    <w:rsid w:val="003C3D57"/>
    <w:rsid w:val="003E0D97"/>
    <w:rsid w:val="003F24D8"/>
    <w:rsid w:val="003F4820"/>
    <w:rsid w:val="00400188"/>
    <w:rsid w:val="0040121B"/>
    <w:rsid w:val="00405F03"/>
    <w:rsid w:val="0042504B"/>
    <w:rsid w:val="00442CC4"/>
    <w:rsid w:val="00462DA5"/>
    <w:rsid w:val="00466460"/>
    <w:rsid w:val="00466479"/>
    <w:rsid w:val="00490297"/>
    <w:rsid w:val="0049071E"/>
    <w:rsid w:val="0049584A"/>
    <w:rsid w:val="00496AAE"/>
    <w:rsid w:val="004A60EB"/>
    <w:rsid w:val="004B24BD"/>
    <w:rsid w:val="004E39DD"/>
    <w:rsid w:val="004E3E3F"/>
    <w:rsid w:val="004E67F5"/>
    <w:rsid w:val="005031B1"/>
    <w:rsid w:val="00504A42"/>
    <w:rsid w:val="0051471D"/>
    <w:rsid w:val="005305FF"/>
    <w:rsid w:val="00532554"/>
    <w:rsid w:val="00540EE4"/>
    <w:rsid w:val="00544969"/>
    <w:rsid w:val="005462C8"/>
    <w:rsid w:val="00560BEE"/>
    <w:rsid w:val="0056424B"/>
    <w:rsid w:val="00573200"/>
    <w:rsid w:val="00577E05"/>
    <w:rsid w:val="00581D42"/>
    <w:rsid w:val="00582F83"/>
    <w:rsid w:val="00585BBD"/>
    <w:rsid w:val="005A0524"/>
    <w:rsid w:val="005A2876"/>
    <w:rsid w:val="005B6631"/>
    <w:rsid w:val="005C1A2A"/>
    <w:rsid w:val="005C54BA"/>
    <w:rsid w:val="005D0141"/>
    <w:rsid w:val="005E58F4"/>
    <w:rsid w:val="005F1360"/>
    <w:rsid w:val="00602C9D"/>
    <w:rsid w:val="00614D3C"/>
    <w:rsid w:val="00616C1D"/>
    <w:rsid w:val="00626CC9"/>
    <w:rsid w:val="00655B49"/>
    <w:rsid w:val="00664B7C"/>
    <w:rsid w:val="00674A9D"/>
    <w:rsid w:val="006757FB"/>
    <w:rsid w:val="0069798D"/>
    <w:rsid w:val="006A22CE"/>
    <w:rsid w:val="006A55CE"/>
    <w:rsid w:val="006C2A71"/>
    <w:rsid w:val="006C6F2C"/>
    <w:rsid w:val="006D1480"/>
    <w:rsid w:val="006D4A6C"/>
    <w:rsid w:val="006D4AD9"/>
    <w:rsid w:val="006E56C8"/>
    <w:rsid w:val="006F521B"/>
    <w:rsid w:val="0071670E"/>
    <w:rsid w:val="00752B57"/>
    <w:rsid w:val="00757D2A"/>
    <w:rsid w:val="007735C0"/>
    <w:rsid w:val="00781C98"/>
    <w:rsid w:val="00786557"/>
    <w:rsid w:val="00794CE9"/>
    <w:rsid w:val="0079701E"/>
    <w:rsid w:val="007C13C2"/>
    <w:rsid w:val="007C524B"/>
    <w:rsid w:val="007D11DF"/>
    <w:rsid w:val="007D2510"/>
    <w:rsid w:val="007E189B"/>
    <w:rsid w:val="007F6E97"/>
    <w:rsid w:val="00800435"/>
    <w:rsid w:val="00813F69"/>
    <w:rsid w:val="00823C1D"/>
    <w:rsid w:val="00832E88"/>
    <w:rsid w:val="00837EB6"/>
    <w:rsid w:val="00843C7A"/>
    <w:rsid w:val="00845D1E"/>
    <w:rsid w:val="00860E46"/>
    <w:rsid w:val="00865FB2"/>
    <w:rsid w:val="00874958"/>
    <w:rsid w:val="008811A2"/>
    <w:rsid w:val="0088735C"/>
    <w:rsid w:val="0089016F"/>
    <w:rsid w:val="00890AB3"/>
    <w:rsid w:val="008A3799"/>
    <w:rsid w:val="008A5499"/>
    <w:rsid w:val="008B29C4"/>
    <w:rsid w:val="008B555C"/>
    <w:rsid w:val="008B5882"/>
    <w:rsid w:val="008C0D4A"/>
    <w:rsid w:val="008C4186"/>
    <w:rsid w:val="008E50F1"/>
    <w:rsid w:val="008E638C"/>
    <w:rsid w:val="008F26C8"/>
    <w:rsid w:val="00902AA4"/>
    <w:rsid w:val="00904822"/>
    <w:rsid w:val="00937292"/>
    <w:rsid w:val="00961802"/>
    <w:rsid w:val="009637F2"/>
    <w:rsid w:val="00963DEE"/>
    <w:rsid w:val="009654D1"/>
    <w:rsid w:val="00975F1F"/>
    <w:rsid w:val="009958F6"/>
    <w:rsid w:val="009A55E6"/>
    <w:rsid w:val="009B3469"/>
    <w:rsid w:val="009D3CCA"/>
    <w:rsid w:val="009E4ACC"/>
    <w:rsid w:val="009E586D"/>
    <w:rsid w:val="009F250B"/>
    <w:rsid w:val="009F2851"/>
    <w:rsid w:val="009F6B7C"/>
    <w:rsid w:val="00A02581"/>
    <w:rsid w:val="00A03D5E"/>
    <w:rsid w:val="00A10E60"/>
    <w:rsid w:val="00A15E52"/>
    <w:rsid w:val="00A17EEF"/>
    <w:rsid w:val="00A232AB"/>
    <w:rsid w:val="00A3653E"/>
    <w:rsid w:val="00A65A5F"/>
    <w:rsid w:val="00A661E7"/>
    <w:rsid w:val="00A7134C"/>
    <w:rsid w:val="00A71848"/>
    <w:rsid w:val="00A7488A"/>
    <w:rsid w:val="00A9298E"/>
    <w:rsid w:val="00A94C8F"/>
    <w:rsid w:val="00AB7A26"/>
    <w:rsid w:val="00AF0D91"/>
    <w:rsid w:val="00B233FF"/>
    <w:rsid w:val="00B235F4"/>
    <w:rsid w:val="00B31EC7"/>
    <w:rsid w:val="00B403C3"/>
    <w:rsid w:val="00B42EFC"/>
    <w:rsid w:val="00B44AC6"/>
    <w:rsid w:val="00B4633D"/>
    <w:rsid w:val="00B6108C"/>
    <w:rsid w:val="00B717BD"/>
    <w:rsid w:val="00B84A91"/>
    <w:rsid w:val="00B85749"/>
    <w:rsid w:val="00BA778C"/>
    <w:rsid w:val="00BB2306"/>
    <w:rsid w:val="00BD13FE"/>
    <w:rsid w:val="00BE128D"/>
    <w:rsid w:val="00BE3D71"/>
    <w:rsid w:val="00C125EA"/>
    <w:rsid w:val="00C179A3"/>
    <w:rsid w:val="00C42CFB"/>
    <w:rsid w:val="00C64CFF"/>
    <w:rsid w:val="00C66A62"/>
    <w:rsid w:val="00C73B5F"/>
    <w:rsid w:val="00C76B82"/>
    <w:rsid w:val="00C84F38"/>
    <w:rsid w:val="00C8514B"/>
    <w:rsid w:val="00C9094D"/>
    <w:rsid w:val="00C943A3"/>
    <w:rsid w:val="00CC61D4"/>
    <w:rsid w:val="00CC69F7"/>
    <w:rsid w:val="00CD1587"/>
    <w:rsid w:val="00CF7536"/>
    <w:rsid w:val="00D0351B"/>
    <w:rsid w:val="00D069B9"/>
    <w:rsid w:val="00D11860"/>
    <w:rsid w:val="00D150DE"/>
    <w:rsid w:val="00D253B4"/>
    <w:rsid w:val="00D3286C"/>
    <w:rsid w:val="00D336E9"/>
    <w:rsid w:val="00D35141"/>
    <w:rsid w:val="00D351C1"/>
    <w:rsid w:val="00D55621"/>
    <w:rsid w:val="00D6659C"/>
    <w:rsid w:val="00D75D27"/>
    <w:rsid w:val="00D86473"/>
    <w:rsid w:val="00DA1BC0"/>
    <w:rsid w:val="00DA4E65"/>
    <w:rsid w:val="00DB002F"/>
    <w:rsid w:val="00DB54BA"/>
    <w:rsid w:val="00DC04E3"/>
    <w:rsid w:val="00DD6426"/>
    <w:rsid w:val="00DD6BF7"/>
    <w:rsid w:val="00DD6D26"/>
    <w:rsid w:val="00DF4CA2"/>
    <w:rsid w:val="00E22A4C"/>
    <w:rsid w:val="00E24552"/>
    <w:rsid w:val="00E27FC9"/>
    <w:rsid w:val="00E365DA"/>
    <w:rsid w:val="00E4094D"/>
    <w:rsid w:val="00E4132D"/>
    <w:rsid w:val="00E43F99"/>
    <w:rsid w:val="00E505B8"/>
    <w:rsid w:val="00E55947"/>
    <w:rsid w:val="00E569EF"/>
    <w:rsid w:val="00E65A02"/>
    <w:rsid w:val="00E829AB"/>
    <w:rsid w:val="00E86694"/>
    <w:rsid w:val="00E9754D"/>
    <w:rsid w:val="00EA0E7F"/>
    <w:rsid w:val="00EA76B0"/>
    <w:rsid w:val="00EA7A8F"/>
    <w:rsid w:val="00EB1BC5"/>
    <w:rsid w:val="00EB5EBB"/>
    <w:rsid w:val="00ED32CA"/>
    <w:rsid w:val="00ED6044"/>
    <w:rsid w:val="00ED617F"/>
    <w:rsid w:val="00EE47A0"/>
    <w:rsid w:val="00EE7600"/>
    <w:rsid w:val="00EE7CCA"/>
    <w:rsid w:val="00EF1892"/>
    <w:rsid w:val="00EF59FD"/>
    <w:rsid w:val="00F00015"/>
    <w:rsid w:val="00F02EA5"/>
    <w:rsid w:val="00F0557C"/>
    <w:rsid w:val="00F10AFF"/>
    <w:rsid w:val="00F14711"/>
    <w:rsid w:val="00F3033A"/>
    <w:rsid w:val="00F52EE6"/>
    <w:rsid w:val="00F559B8"/>
    <w:rsid w:val="00F625AC"/>
    <w:rsid w:val="00F77540"/>
    <w:rsid w:val="00F84535"/>
    <w:rsid w:val="00F86677"/>
    <w:rsid w:val="00F94E99"/>
    <w:rsid w:val="00FC11B3"/>
    <w:rsid w:val="00FD4CE5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semiHidden="0" w:uiPriority="35" w:unhideWhenUsed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  <w:ind w:firstLine="284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B7A26"/>
    <w:pPr>
      <w:keepNext/>
      <w:keepLines/>
      <w:spacing w:before="360" w:after="240"/>
      <w:ind w:firstLine="0"/>
      <w:jc w:val="center"/>
      <w:outlineLvl w:val="0"/>
    </w:pPr>
    <w:rPr>
      <w:b/>
      <w:kern w:val="28"/>
      <w:sz w:val="32"/>
      <w:u w:val="double"/>
    </w:rPr>
  </w:style>
  <w:style w:type="paragraph" w:styleId="berschrift2">
    <w:name w:val="heading 2"/>
    <w:basedOn w:val="berschrift1"/>
    <w:next w:val="Standard"/>
    <w:link w:val="berschrift2Zchn"/>
    <w:qFormat/>
    <w:pPr>
      <w:spacing w:before="240" w:after="120"/>
      <w:jc w:val="left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p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spacing w:before="120"/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pos="941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pPr>
      <w:keepNext/>
      <w:keepLines/>
      <w:spacing w:after="0"/>
      <w:ind w:left="567" w:firstLine="0"/>
    </w:pPr>
    <w:rPr>
      <w:rFonts w:ascii="Arial" w:hAnsi="Arial"/>
      <w:sz w:val="20"/>
      <w:u w:val="single"/>
    </w:rPr>
  </w:style>
  <w:style w:type="paragraph" w:styleId="Endnotentext">
    <w:name w:val="endnote text"/>
    <w:basedOn w:val="Funotentext"/>
    <w:link w:val="EndnotentextZchn"/>
    <w:semiHidden/>
  </w:style>
  <w:style w:type="paragraph" w:styleId="Funotentext">
    <w:name w:val="footnote text"/>
    <w:basedOn w:val="Standard"/>
    <w:semiHidden/>
    <w:pPr>
      <w:spacing w:after="0"/>
      <w:ind w:left="284" w:hanging="284"/>
    </w:pPr>
    <w:rPr>
      <w:sz w:val="20"/>
    </w:rPr>
  </w:style>
  <w:style w:type="character" w:styleId="Endnotenzeichen">
    <w:name w:val="endnote reference"/>
    <w:basedOn w:val="Funotenzeichen"/>
    <w:semiHidden/>
    <w:rPr>
      <w:rFonts w:ascii="Arial" w:hAnsi="Arial"/>
      <w:position w:val="6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position w:val="6"/>
      <w:sz w:val="20"/>
      <w:vertAlign w:val="superscript"/>
    </w:rPr>
  </w:style>
  <w:style w:type="paragraph" w:styleId="Fuzeile">
    <w:name w:val="footer"/>
    <w:basedOn w:val="Kopfzeile"/>
    <w:rPr>
      <w:sz w:val="16"/>
    </w:rPr>
  </w:style>
  <w:style w:type="paragraph" w:styleId="Kopfzeile">
    <w:name w:val="header"/>
    <w:basedOn w:val="Standard"/>
    <w:pPr>
      <w:tabs>
        <w:tab w:val="right" w:pos="9185"/>
      </w:tabs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pos="2659"/>
      </w:tabs>
      <w:ind w:left="221" w:hanging="221"/>
    </w:pPr>
    <w:rPr>
      <w:sz w:val="20"/>
    </w:rPr>
  </w:style>
  <w:style w:type="paragraph" w:styleId="Index2">
    <w:name w:val="index 2"/>
    <w:basedOn w:val="Standard"/>
    <w:next w:val="Standard"/>
    <w:autoRedefine/>
    <w:semiHidden/>
    <w:pPr>
      <w:tabs>
        <w:tab w:val="right" w:pos="2659"/>
      </w:tabs>
      <w:ind w:left="442" w:hanging="221"/>
    </w:pPr>
    <w:rPr>
      <w:sz w:val="20"/>
    </w:rPr>
  </w:style>
  <w:style w:type="paragraph" w:styleId="Index3">
    <w:name w:val="index 3"/>
    <w:basedOn w:val="Standard"/>
    <w:next w:val="Standard"/>
    <w:autoRedefine/>
    <w:semiHidden/>
    <w:pPr>
      <w:tabs>
        <w:tab w:val="right" w:pos="2659"/>
      </w:tabs>
      <w:ind w:left="663" w:hanging="221"/>
    </w:pPr>
    <w:rPr>
      <w:sz w:val="20"/>
    </w:rPr>
  </w:style>
  <w:style w:type="paragraph" w:styleId="Index4">
    <w:name w:val="index 4"/>
    <w:basedOn w:val="Standard"/>
    <w:next w:val="Standard"/>
    <w:autoRedefine/>
    <w:semiHidden/>
    <w:pPr>
      <w:tabs>
        <w:tab w:val="right" w:pos="2659"/>
      </w:tabs>
      <w:ind w:left="879" w:hanging="221"/>
    </w:pPr>
    <w:rPr>
      <w:sz w:val="20"/>
    </w:rPr>
  </w:style>
  <w:style w:type="paragraph" w:styleId="Index5">
    <w:name w:val="index 5"/>
    <w:basedOn w:val="Standard"/>
    <w:next w:val="Standard"/>
    <w:autoRedefine/>
    <w:semiHidden/>
    <w:pPr>
      <w:tabs>
        <w:tab w:val="right" w:pos="2659"/>
      </w:tabs>
      <w:ind w:left="1100" w:hanging="221"/>
    </w:pPr>
    <w:rPr>
      <w:sz w:val="20"/>
    </w:rPr>
  </w:style>
  <w:style w:type="paragraph" w:styleId="Index6">
    <w:name w:val="index 6"/>
    <w:basedOn w:val="Standard"/>
    <w:next w:val="Standard"/>
    <w:autoRedefine/>
    <w:semiHidden/>
    <w:pPr>
      <w:tabs>
        <w:tab w:val="right" w:pos="2659"/>
      </w:tabs>
      <w:ind w:left="1321" w:hanging="221"/>
    </w:pPr>
    <w:rPr>
      <w:sz w:val="20"/>
    </w:rPr>
  </w:style>
  <w:style w:type="paragraph" w:styleId="Index7">
    <w:name w:val="index 7"/>
    <w:basedOn w:val="Standard"/>
    <w:next w:val="Standard"/>
    <w:autoRedefine/>
    <w:semiHidden/>
    <w:pPr>
      <w:tabs>
        <w:tab w:val="right" w:pos="2659"/>
      </w:tabs>
      <w:ind w:left="1542" w:hanging="221"/>
    </w:pPr>
    <w:rPr>
      <w:sz w:val="20"/>
    </w:rPr>
  </w:style>
  <w:style w:type="paragraph" w:styleId="Index8">
    <w:name w:val="index 8"/>
    <w:basedOn w:val="Standard"/>
    <w:next w:val="Standard"/>
    <w:autoRedefine/>
    <w:semiHidden/>
    <w:pPr>
      <w:tabs>
        <w:tab w:val="right" w:pos="2659"/>
      </w:tabs>
      <w:ind w:left="1763" w:hanging="221"/>
    </w:pPr>
    <w:rPr>
      <w:sz w:val="20"/>
    </w:rPr>
  </w:style>
  <w:style w:type="paragraph" w:styleId="Index9">
    <w:name w:val="index 9"/>
    <w:basedOn w:val="Standard"/>
    <w:next w:val="Standard"/>
    <w:autoRedefine/>
    <w:semiHidden/>
    <w:pPr>
      <w:tabs>
        <w:tab w:val="right" w:pos="2659"/>
      </w:tabs>
      <w:ind w:left="1979" w:hanging="221"/>
    </w:pPr>
    <w:rPr>
      <w:sz w:val="20"/>
    </w:rPr>
  </w:style>
  <w:style w:type="paragraph" w:styleId="Indexberschrift">
    <w:name w:val="index heading"/>
    <w:basedOn w:val="Standard"/>
    <w:next w:val="Index1"/>
    <w:semiHidden/>
  </w:style>
  <w:style w:type="paragraph" w:styleId="Liste">
    <w:name w:val="List"/>
    <w:basedOn w:val="Standard"/>
    <w:pPr>
      <w:ind w:left="454" w:hanging="454"/>
    </w:pPr>
  </w:style>
  <w:style w:type="paragraph" w:styleId="Liste2">
    <w:name w:val="List 2"/>
    <w:basedOn w:val="Standard"/>
    <w:pPr>
      <w:ind w:left="681" w:hanging="454"/>
    </w:pPr>
  </w:style>
  <w:style w:type="paragraph" w:styleId="Liste3">
    <w:name w:val="List 3"/>
    <w:basedOn w:val="Standard"/>
    <w:pPr>
      <w:ind w:left="908" w:hanging="454"/>
    </w:pPr>
  </w:style>
  <w:style w:type="paragraph" w:styleId="Liste4">
    <w:name w:val="List 4"/>
    <w:basedOn w:val="Standard"/>
    <w:pPr>
      <w:ind w:left="1134" w:hanging="454"/>
    </w:pPr>
  </w:style>
  <w:style w:type="paragraph" w:styleId="Liste5">
    <w:name w:val="List 5"/>
    <w:basedOn w:val="Standard"/>
    <w:pPr>
      <w:ind w:left="1361" w:hanging="454"/>
    </w:pPr>
  </w:style>
  <w:style w:type="paragraph" w:styleId="Listenfortsetzung">
    <w:name w:val="List Continue"/>
    <w:basedOn w:val="Standard"/>
    <w:pPr>
      <w:ind w:left="454"/>
    </w:pPr>
  </w:style>
  <w:style w:type="paragraph" w:styleId="Listenfortsetzung2">
    <w:name w:val="List Continue 2"/>
    <w:basedOn w:val="Standard"/>
    <w:pPr>
      <w:ind w:left="680"/>
    </w:pPr>
  </w:style>
  <w:style w:type="paragraph" w:styleId="Listenfortsetzung3">
    <w:name w:val="List Continue 3"/>
    <w:basedOn w:val="Standard"/>
    <w:pPr>
      <w:ind w:left="907"/>
    </w:pPr>
  </w:style>
  <w:style w:type="paragraph" w:styleId="Listenfortsetzung4">
    <w:name w:val="List Continue 4"/>
    <w:basedOn w:val="Standard"/>
    <w:pPr>
      <w:ind w:left="1134"/>
    </w:pPr>
  </w:style>
  <w:style w:type="paragraph" w:styleId="Listenfortsetzung5">
    <w:name w:val="List Continue 5"/>
    <w:basedOn w:val="Standard"/>
    <w:pPr>
      <w:ind w:left="1361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val="de-DE" w:eastAsia="de-DE"/>
    </w:rPr>
  </w:style>
  <w:style w:type="character" w:styleId="Seitenzahl">
    <w:name w:val="page number"/>
  </w:style>
  <w:style w:type="paragraph" w:styleId="Standardeinzug">
    <w:name w:val="Normal Indent"/>
    <w:basedOn w:val="Standard"/>
    <w:qFormat/>
    <w:rsid w:val="00E65A02"/>
    <w:pPr>
      <w:keepLines/>
      <w:numPr>
        <w:numId w:val="11"/>
      </w:numPr>
      <w:tabs>
        <w:tab w:val="left" w:pos="5670"/>
      </w:tabs>
      <w:spacing w:after="0"/>
      <w:jc w:val="left"/>
    </w:pPr>
  </w:style>
  <w:style w:type="paragraph" w:styleId="Titel">
    <w:name w:val="Title"/>
    <w:basedOn w:val="Standard"/>
    <w:next w:val="Standard"/>
    <w:pPr>
      <w:keepNext/>
      <w:keepLines/>
      <w:spacing w:after="480"/>
      <w:jc w:val="center"/>
    </w:pPr>
    <w:rPr>
      <w:b/>
      <w:kern w:val="28"/>
      <w:sz w:val="36"/>
    </w:rPr>
  </w:style>
  <w:style w:type="paragraph" w:styleId="Umschlagadresse">
    <w:name w:val="envelope address"/>
    <w:basedOn w:val="Standard"/>
    <w:pPr>
      <w:framePr w:w="7938" w:h="2835" w:hRule="exact" w:hSpace="142" w:vSpace="142" w:wrap="around" w:hAnchor="page" w:xAlign="center" w:yAlign="bottom"/>
      <w:ind w:left="2835"/>
    </w:pPr>
    <w:rPr>
      <w:sz w:val="24"/>
    </w:rPr>
  </w:style>
  <w:style w:type="paragraph" w:styleId="Untertitel">
    <w:name w:val="Subtitle"/>
    <w:basedOn w:val="Titel"/>
    <w:next w:val="Standard"/>
    <w:qFormat/>
    <w:rPr>
      <w:sz w:val="32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9185"/>
      </w:tabs>
      <w:spacing w:after="0"/>
      <w:ind w:firstLine="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185"/>
      </w:tabs>
      <w:spacing w:after="0"/>
      <w:ind w:left="284" w:firstLine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185"/>
      </w:tabs>
      <w:spacing w:after="0"/>
      <w:ind w:left="567" w:firstLine="0"/>
    </w:pPr>
    <w:rPr>
      <w:noProof/>
      <w:sz w:val="20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3"/>
    <w:next w:val="Standard"/>
    <w:autoRedefine/>
    <w:semiHidden/>
  </w:style>
  <w:style w:type="paragraph" w:styleId="Verzeichnis6">
    <w:name w:val="toc 6"/>
    <w:basedOn w:val="Verzeichnis3"/>
    <w:next w:val="Standard"/>
    <w:autoRedefine/>
    <w:semiHidden/>
  </w:style>
  <w:style w:type="paragraph" w:styleId="Verzeichnis7">
    <w:name w:val="toc 7"/>
    <w:basedOn w:val="Verzeichnis3"/>
    <w:next w:val="Standard"/>
    <w:autoRedefine/>
    <w:semiHidden/>
  </w:style>
  <w:style w:type="paragraph" w:styleId="Verzeichnis8">
    <w:name w:val="toc 8"/>
    <w:basedOn w:val="Verzeichnis3"/>
    <w:next w:val="Standard"/>
    <w:autoRedefine/>
    <w:semiHidden/>
  </w:style>
  <w:style w:type="paragraph" w:styleId="Verzeichnis9">
    <w:name w:val="toc 9"/>
    <w:basedOn w:val="Verzeichnis3"/>
    <w:next w:val="Standard"/>
    <w:autoRedefine/>
    <w:semiHidden/>
  </w:style>
  <w:style w:type="character" w:styleId="Zeilennummer">
    <w:name w:val="line number"/>
    <w:basedOn w:val="Absatz-Standardschriftart"/>
    <w:rPr>
      <w:rFonts w:ascii="Arial" w:hAnsi="Arial"/>
      <w:sz w:val="22"/>
    </w:rPr>
  </w:style>
  <w:style w:type="character" w:styleId="Fett">
    <w:name w:val="Strong"/>
    <w:basedOn w:val="Absatz-Standardschriftart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/>
      <w:vanish/>
      <w:sz w:val="20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paragraph" w:customStyle="1" w:styleId="Tabelle">
    <w:name w:val="Tabelle"/>
    <w:basedOn w:val="Standard"/>
    <w:qFormat/>
    <w:pPr>
      <w:keepNext/>
      <w:keepLines/>
      <w:tabs>
        <w:tab w:val="decimal" w:pos="4253"/>
        <w:tab w:val="decimal" w:pos="5670"/>
        <w:tab w:val="decimal" w:pos="7088"/>
        <w:tab w:val="decimal" w:pos="8505"/>
      </w:tabs>
      <w:spacing w:after="0"/>
      <w:ind w:firstLine="0"/>
      <w:jc w:val="left"/>
    </w:pPr>
  </w:style>
  <w:style w:type="paragraph" w:customStyle="1" w:styleId="TabelleEnde">
    <w:name w:val="TabelleEnde"/>
    <w:basedOn w:val="Tabelle"/>
    <w:pPr>
      <w:keepNext w:val="0"/>
      <w:spacing w:after="240"/>
    </w:pPr>
    <w:rPr>
      <w:b/>
      <w:u w:val="double"/>
    </w:rPr>
  </w:style>
  <w:style w:type="paragraph" w:customStyle="1" w:styleId="StandardeinzugEnde">
    <w:name w:val="StandardeinzugEnde"/>
    <w:basedOn w:val="Standardeinzug"/>
    <w:pPr>
      <w:spacing w:after="120"/>
    </w:pPr>
  </w:style>
  <w:style w:type="paragraph" w:styleId="Kommentartext">
    <w:name w:val="annotation text"/>
    <w:basedOn w:val="Standard"/>
    <w:link w:val="KommentartextZchn"/>
    <w:semiHidden/>
    <w:pPr>
      <w:jc w:val="left"/>
    </w:pPr>
    <w:rPr>
      <w:noProof/>
      <w:sz w:val="20"/>
    </w:rPr>
  </w:style>
  <w:style w:type="paragraph" w:customStyle="1" w:styleId="Beispiel">
    <w:name w:val="Beispiel"/>
    <w:basedOn w:val="Standard"/>
    <w:rsid w:val="00AB7A26"/>
    <w:pPr>
      <w:keepLines/>
      <w:ind w:left="567" w:right="567" w:firstLine="0"/>
      <w:jc w:val="left"/>
    </w:pPr>
    <w:rPr>
      <w:rFonts w:ascii="Arial" w:hAnsi="Arial"/>
      <w:sz w:val="20"/>
    </w:rPr>
  </w:style>
  <w:style w:type="paragraph" w:customStyle="1" w:styleId="Gesetz">
    <w:name w:val="Gesetz"/>
    <w:basedOn w:val="Standard"/>
    <w:qFormat/>
    <w:pPr>
      <w:keepLines/>
      <w:ind w:left="567" w:right="567" w:hanging="567"/>
    </w:pPr>
    <w:rPr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finition">
    <w:name w:val="Definition"/>
    <w:basedOn w:val="Standard"/>
    <w:next w:val="Text"/>
    <w:qFormat/>
    <w:pPr>
      <w:keepNext/>
      <w:keepLines/>
      <w:pBdr>
        <w:top w:val="double" w:sz="6" w:space="1" w:color="auto"/>
        <w:left w:val="double" w:sz="6" w:space="1" w:color="auto"/>
        <w:right w:val="double" w:sz="6" w:space="1" w:color="auto"/>
      </w:pBdr>
      <w:shd w:val="pct10" w:color="auto" w:fill="auto"/>
      <w:spacing w:after="0"/>
      <w:ind w:firstLine="0"/>
    </w:pPr>
    <w:rPr>
      <w:b/>
      <w:u w:val="double"/>
    </w:rPr>
  </w:style>
  <w:style w:type="paragraph" w:customStyle="1" w:styleId="Text">
    <w:name w:val="Text"/>
    <w:basedOn w:val="Standard"/>
    <w:next w:val="Standard"/>
    <w:pPr>
      <w:keepLines/>
      <w:pBdr>
        <w:left w:val="double" w:sz="6" w:space="1" w:color="auto"/>
        <w:bottom w:val="double" w:sz="6" w:space="1" w:color="auto"/>
        <w:right w:val="double" w:sz="6" w:space="1" w:color="auto"/>
      </w:pBdr>
      <w:spacing w:after="240"/>
      <w:ind w:firstLine="0"/>
    </w:pPr>
  </w:style>
  <w:style w:type="paragraph" w:styleId="Sprechblasentext">
    <w:name w:val="Balloon Text"/>
    <w:basedOn w:val="Standard"/>
    <w:semiHidden/>
    <w:rsid w:val="00F3033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164204"/>
    <w:pPr>
      <w:jc w:val="both"/>
    </w:pPr>
    <w:rPr>
      <w:b/>
      <w:bCs/>
      <w:noProof w:val="0"/>
    </w:rPr>
  </w:style>
  <w:style w:type="paragraph" w:styleId="StandardWeb">
    <w:name w:val="Normal (Web)"/>
    <w:basedOn w:val="Standard"/>
    <w:rsid w:val="00ED32CA"/>
    <w:pPr>
      <w:spacing w:before="45" w:after="45"/>
      <w:ind w:firstLine="0"/>
      <w:jc w:val="left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174ED3"/>
    <w:rPr>
      <w:sz w:val="22"/>
      <w:lang w:val="de-DE" w:eastAsia="de-DE"/>
    </w:rPr>
  </w:style>
  <w:style w:type="table" w:styleId="Tabellenraster">
    <w:name w:val="Table Grid"/>
    <w:basedOn w:val="NormaleTabelle"/>
    <w:rsid w:val="008F26C8"/>
    <w:pPr>
      <w:spacing w:after="12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3028A"/>
    <w:rPr>
      <w:b/>
      <w:kern w:val="28"/>
      <w:sz w:val="32"/>
      <w:u w:val="doub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3028A"/>
    <w:rPr>
      <w:b/>
      <w:kern w:val="28"/>
      <w:sz w:val="28"/>
      <w:u w:val="doub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3028A"/>
    <w:rPr>
      <w:b/>
      <w:kern w:val="28"/>
      <w:sz w:val="24"/>
      <w:u w:val="single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03028A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3028A"/>
    <w:rPr>
      <w:noProof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718FB"/>
    <w:rPr>
      <w:color w:val="808080"/>
    </w:rPr>
  </w:style>
  <w:style w:type="character" w:customStyle="1" w:styleId="text-item">
    <w:name w:val="text-item"/>
    <w:basedOn w:val="Absatz-Standardschriftart"/>
    <w:rsid w:val="0096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semiHidden="0" w:uiPriority="35" w:unhideWhenUsed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  <w:ind w:firstLine="284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B7A26"/>
    <w:pPr>
      <w:keepNext/>
      <w:keepLines/>
      <w:spacing w:before="360" w:after="240"/>
      <w:ind w:firstLine="0"/>
      <w:jc w:val="center"/>
      <w:outlineLvl w:val="0"/>
    </w:pPr>
    <w:rPr>
      <w:b/>
      <w:kern w:val="28"/>
      <w:sz w:val="32"/>
      <w:u w:val="double"/>
    </w:rPr>
  </w:style>
  <w:style w:type="paragraph" w:styleId="berschrift2">
    <w:name w:val="heading 2"/>
    <w:basedOn w:val="berschrift1"/>
    <w:next w:val="Standard"/>
    <w:link w:val="berschrift2Zchn"/>
    <w:qFormat/>
    <w:pPr>
      <w:spacing w:before="240" w:after="120"/>
      <w:jc w:val="left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p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spacing w:before="120"/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pos="941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pPr>
      <w:keepNext/>
      <w:keepLines/>
      <w:spacing w:after="0"/>
      <w:ind w:left="567" w:firstLine="0"/>
    </w:pPr>
    <w:rPr>
      <w:rFonts w:ascii="Arial" w:hAnsi="Arial"/>
      <w:sz w:val="20"/>
      <w:u w:val="single"/>
    </w:rPr>
  </w:style>
  <w:style w:type="paragraph" w:styleId="Endnotentext">
    <w:name w:val="endnote text"/>
    <w:basedOn w:val="Funotentext"/>
    <w:link w:val="EndnotentextZchn"/>
    <w:semiHidden/>
  </w:style>
  <w:style w:type="paragraph" w:styleId="Funotentext">
    <w:name w:val="footnote text"/>
    <w:basedOn w:val="Standard"/>
    <w:semiHidden/>
    <w:pPr>
      <w:spacing w:after="0"/>
      <w:ind w:left="284" w:hanging="284"/>
    </w:pPr>
    <w:rPr>
      <w:sz w:val="20"/>
    </w:rPr>
  </w:style>
  <w:style w:type="character" w:styleId="Endnotenzeichen">
    <w:name w:val="endnote reference"/>
    <w:basedOn w:val="Funotenzeichen"/>
    <w:semiHidden/>
    <w:rPr>
      <w:rFonts w:ascii="Arial" w:hAnsi="Arial"/>
      <w:position w:val="6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position w:val="6"/>
      <w:sz w:val="20"/>
      <w:vertAlign w:val="superscript"/>
    </w:rPr>
  </w:style>
  <w:style w:type="paragraph" w:styleId="Fuzeile">
    <w:name w:val="footer"/>
    <w:basedOn w:val="Kopfzeile"/>
    <w:rPr>
      <w:sz w:val="16"/>
    </w:rPr>
  </w:style>
  <w:style w:type="paragraph" w:styleId="Kopfzeile">
    <w:name w:val="header"/>
    <w:basedOn w:val="Standard"/>
    <w:pPr>
      <w:tabs>
        <w:tab w:val="right" w:pos="9185"/>
      </w:tabs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pos="2659"/>
      </w:tabs>
      <w:ind w:left="221" w:hanging="221"/>
    </w:pPr>
    <w:rPr>
      <w:sz w:val="20"/>
    </w:rPr>
  </w:style>
  <w:style w:type="paragraph" w:styleId="Index2">
    <w:name w:val="index 2"/>
    <w:basedOn w:val="Standard"/>
    <w:next w:val="Standard"/>
    <w:autoRedefine/>
    <w:semiHidden/>
    <w:pPr>
      <w:tabs>
        <w:tab w:val="right" w:pos="2659"/>
      </w:tabs>
      <w:ind w:left="442" w:hanging="221"/>
    </w:pPr>
    <w:rPr>
      <w:sz w:val="20"/>
    </w:rPr>
  </w:style>
  <w:style w:type="paragraph" w:styleId="Index3">
    <w:name w:val="index 3"/>
    <w:basedOn w:val="Standard"/>
    <w:next w:val="Standard"/>
    <w:autoRedefine/>
    <w:semiHidden/>
    <w:pPr>
      <w:tabs>
        <w:tab w:val="right" w:pos="2659"/>
      </w:tabs>
      <w:ind w:left="663" w:hanging="221"/>
    </w:pPr>
    <w:rPr>
      <w:sz w:val="20"/>
    </w:rPr>
  </w:style>
  <w:style w:type="paragraph" w:styleId="Index4">
    <w:name w:val="index 4"/>
    <w:basedOn w:val="Standard"/>
    <w:next w:val="Standard"/>
    <w:autoRedefine/>
    <w:semiHidden/>
    <w:pPr>
      <w:tabs>
        <w:tab w:val="right" w:pos="2659"/>
      </w:tabs>
      <w:ind w:left="879" w:hanging="221"/>
    </w:pPr>
    <w:rPr>
      <w:sz w:val="20"/>
    </w:rPr>
  </w:style>
  <w:style w:type="paragraph" w:styleId="Index5">
    <w:name w:val="index 5"/>
    <w:basedOn w:val="Standard"/>
    <w:next w:val="Standard"/>
    <w:autoRedefine/>
    <w:semiHidden/>
    <w:pPr>
      <w:tabs>
        <w:tab w:val="right" w:pos="2659"/>
      </w:tabs>
      <w:ind w:left="1100" w:hanging="221"/>
    </w:pPr>
    <w:rPr>
      <w:sz w:val="20"/>
    </w:rPr>
  </w:style>
  <w:style w:type="paragraph" w:styleId="Index6">
    <w:name w:val="index 6"/>
    <w:basedOn w:val="Standard"/>
    <w:next w:val="Standard"/>
    <w:autoRedefine/>
    <w:semiHidden/>
    <w:pPr>
      <w:tabs>
        <w:tab w:val="right" w:pos="2659"/>
      </w:tabs>
      <w:ind w:left="1321" w:hanging="221"/>
    </w:pPr>
    <w:rPr>
      <w:sz w:val="20"/>
    </w:rPr>
  </w:style>
  <w:style w:type="paragraph" w:styleId="Index7">
    <w:name w:val="index 7"/>
    <w:basedOn w:val="Standard"/>
    <w:next w:val="Standard"/>
    <w:autoRedefine/>
    <w:semiHidden/>
    <w:pPr>
      <w:tabs>
        <w:tab w:val="right" w:pos="2659"/>
      </w:tabs>
      <w:ind w:left="1542" w:hanging="221"/>
    </w:pPr>
    <w:rPr>
      <w:sz w:val="20"/>
    </w:rPr>
  </w:style>
  <w:style w:type="paragraph" w:styleId="Index8">
    <w:name w:val="index 8"/>
    <w:basedOn w:val="Standard"/>
    <w:next w:val="Standard"/>
    <w:autoRedefine/>
    <w:semiHidden/>
    <w:pPr>
      <w:tabs>
        <w:tab w:val="right" w:pos="2659"/>
      </w:tabs>
      <w:ind w:left="1763" w:hanging="221"/>
    </w:pPr>
    <w:rPr>
      <w:sz w:val="20"/>
    </w:rPr>
  </w:style>
  <w:style w:type="paragraph" w:styleId="Index9">
    <w:name w:val="index 9"/>
    <w:basedOn w:val="Standard"/>
    <w:next w:val="Standard"/>
    <w:autoRedefine/>
    <w:semiHidden/>
    <w:pPr>
      <w:tabs>
        <w:tab w:val="right" w:pos="2659"/>
      </w:tabs>
      <w:ind w:left="1979" w:hanging="221"/>
    </w:pPr>
    <w:rPr>
      <w:sz w:val="20"/>
    </w:rPr>
  </w:style>
  <w:style w:type="paragraph" w:styleId="Indexberschrift">
    <w:name w:val="index heading"/>
    <w:basedOn w:val="Standard"/>
    <w:next w:val="Index1"/>
    <w:semiHidden/>
  </w:style>
  <w:style w:type="paragraph" w:styleId="Liste">
    <w:name w:val="List"/>
    <w:basedOn w:val="Standard"/>
    <w:pPr>
      <w:ind w:left="454" w:hanging="454"/>
    </w:pPr>
  </w:style>
  <w:style w:type="paragraph" w:styleId="Liste2">
    <w:name w:val="List 2"/>
    <w:basedOn w:val="Standard"/>
    <w:pPr>
      <w:ind w:left="681" w:hanging="454"/>
    </w:pPr>
  </w:style>
  <w:style w:type="paragraph" w:styleId="Liste3">
    <w:name w:val="List 3"/>
    <w:basedOn w:val="Standard"/>
    <w:pPr>
      <w:ind w:left="908" w:hanging="454"/>
    </w:pPr>
  </w:style>
  <w:style w:type="paragraph" w:styleId="Liste4">
    <w:name w:val="List 4"/>
    <w:basedOn w:val="Standard"/>
    <w:pPr>
      <w:ind w:left="1134" w:hanging="454"/>
    </w:pPr>
  </w:style>
  <w:style w:type="paragraph" w:styleId="Liste5">
    <w:name w:val="List 5"/>
    <w:basedOn w:val="Standard"/>
    <w:pPr>
      <w:ind w:left="1361" w:hanging="454"/>
    </w:pPr>
  </w:style>
  <w:style w:type="paragraph" w:styleId="Listenfortsetzung">
    <w:name w:val="List Continue"/>
    <w:basedOn w:val="Standard"/>
    <w:pPr>
      <w:ind w:left="454"/>
    </w:pPr>
  </w:style>
  <w:style w:type="paragraph" w:styleId="Listenfortsetzung2">
    <w:name w:val="List Continue 2"/>
    <w:basedOn w:val="Standard"/>
    <w:pPr>
      <w:ind w:left="680"/>
    </w:pPr>
  </w:style>
  <w:style w:type="paragraph" w:styleId="Listenfortsetzung3">
    <w:name w:val="List Continue 3"/>
    <w:basedOn w:val="Standard"/>
    <w:pPr>
      <w:ind w:left="907"/>
    </w:pPr>
  </w:style>
  <w:style w:type="paragraph" w:styleId="Listenfortsetzung4">
    <w:name w:val="List Continue 4"/>
    <w:basedOn w:val="Standard"/>
    <w:pPr>
      <w:ind w:left="1134"/>
    </w:pPr>
  </w:style>
  <w:style w:type="paragraph" w:styleId="Listenfortsetzung5">
    <w:name w:val="List Continue 5"/>
    <w:basedOn w:val="Standard"/>
    <w:pPr>
      <w:ind w:left="1361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val="de-DE" w:eastAsia="de-DE"/>
    </w:rPr>
  </w:style>
  <w:style w:type="character" w:styleId="Seitenzahl">
    <w:name w:val="page number"/>
  </w:style>
  <w:style w:type="paragraph" w:styleId="Standardeinzug">
    <w:name w:val="Normal Indent"/>
    <w:basedOn w:val="Standard"/>
    <w:qFormat/>
    <w:rsid w:val="00E65A02"/>
    <w:pPr>
      <w:keepLines/>
      <w:numPr>
        <w:numId w:val="11"/>
      </w:numPr>
      <w:tabs>
        <w:tab w:val="left" w:pos="5670"/>
      </w:tabs>
      <w:spacing w:after="0"/>
      <w:jc w:val="left"/>
    </w:pPr>
  </w:style>
  <w:style w:type="paragraph" w:styleId="Titel">
    <w:name w:val="Title"/>
    <w:basedOn w:val="Standard"/>
    <w:next w:val="Standard"/>
    <w:pPr>
      <w:keepNext/>
      <w:keepLines/>
      <w:spacing w:after="480"/>
      <w:jc w:val="center"/>
    </w:pPr>
    <w:rPr>
      <w:b/>
      <w:kern w:val="28"/>
      <w:sz w:val="36"/>
    </w:rPr>
  </w:style>
  <w:style w:type="paragraph" w:styleId="Umschlagadresse">
    <w:name w:val="envelope address"/>
    <w:basedOn w:val="Standard"/>
    <w:pPr>
      <w:framePr w:w="7938" w:h="2835" w:hRule="exact" w:hSpace="142" w:vSpace="142" w:wrap="around" w:hAnchor="page" w:xAlign="center" w:yAlign="bottom"/>
      <w:ind w:left="2835"/>
    </w:pPr>
    <w:rPr>
      <w:sz w:val="24"/>
    </w:rPr>
  </w:style>
  <w:style w:type="paragraph" w:styleId="Untertitel">
    <w:name w:val="Subtitle"/>
    <w:basedOn w:val="Titel"/>
    <w:next w:val="Standard"/>
    <w:qFormat/>
    <w:rPr>
      <w:sz w:val="32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9185"/>
      </w:tabs>
      <w:spacing w:after="0"/>
      <w:ind w:firstLine="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185"/>
      </w:tabs>
      <w:spacing w:after="0"/>
      <w:ind w:left="284" w:firstLine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185"/>
      </w:tabs>
      <w:spacing w:after="0"/>
      <w:ind w:left="567" w:firstLine="0"/>
    </w:pPr>
    <w:rPr>
      <w:noProof/>
      <w:sz w:val="20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3"/>
    <w:next w:val="Standard"/>
    <w:autoRedefine/>
    <w:semiHidden/>
  </w:style>
  <w:style w:type="paragraph" w:styleId="Verzeichnis6">
    <w:name w:val="toc 6"/>
    <w:basedOn w:val="Verzeichnis3"/>
    <w:next w:val="Standard"/>
    <w:autoRedefine/>
    <w:semiHidden/>
  </w:style>
  <w:style w:type="paragraph" w:styleId="Verzeichnis7">
    <w:name w:val="toc 7"/>
    <w:basedOn w:val="Verzeichnis3"/>
    <w:next w:val="Standard"/>
    <w:autoRedefine/>
    <w:semiHidden/>
  </w:style>
  <w:style w:type="paragraph" w:styleId="Verzeichnis8">
    <w:name w:val="toc 8"/>
    <w:basedOn w:val="Verzeichnis3"/>
    <w:next w:val="Standard"/>
    <w:autoRedefine/>
    <w:semiHidden/>
  </w:style>
  <w:style w:type="paragraph" w:styleId="Verzeichnis9">
    <w:name w:val="toc 9"/>
    <w:basedOn w:val="Verzeichnis3"/>
    <w:next w:val="Standard"/>
    <w:autoRedefine/>
    <w:semiHidden/>
  </w:style>
  <w:style w:type="character" w:styleId="Zeilennummer">
    <w:name w:val="line number"/>
    <w:basedOn w:val="Absatz-Standardschriftart"/>
    <w:rPr>
      <w:rFonts w:ascii="Arial" w:hAnsi="Arial"/>
      <w:sz w:val="22"/>
    </w:rPr>
  </w:style>
  <w:style w:type="character" w:styleId="Fett">
    <w:name w:val="Strong"/>
    <w:basedOn w:val="Absatz-Standardschriftart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/>
      <w:vanish/>
      <w:sz w:val="20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paragraph" w:customStyle="1" w:styleId="Tabelle">
    <w:name w:val="Tabelle"/>
    <w:basedOn w:val="Standard"/>
    <w:qFormat/>
    <w:pPr>
      <w:keepNext/>
      <w:keepLines/>
      <w:tabs>
        <w:tab w:val="decimal" w:pos="4253"/>
        <w:tab w:val="decimal" w:pos="5670"/>
        <w:tab w:val="decimal" w:pos="7088"/>
        <w:tab w:val="decimal" w:pos="8505"/>
      </w:tabs>
      <w:spacing w:after="0"/>
      <w:ind w:firstLine="0"/>
      <w:jc w:val="left"/>
    </w:pPr>
  </w:style>
  <w:style w:type="paragraph" w:customStyle="1" w:styleId="TabelleEnde">
    <w:name w:val="TabelleEnde"/>
    <w:basedOn w:val="Tabelle"/>
    <w:pPr>
      <w:keepNext w:val="0"/>
      <w:spacing w:after="240"/>
    </w:pPr>
    <w:rPr>
      <w:b/>
      <w:u w:val="double"/>
    </w:rPr>
  </w:style>
  <w:style w:type="paragraph" w:customStyle="1" w:styleId="StandardeinzugEnde">
    <w:name w:val="StandardeinzugEnde"/>
    <w:basedOn w:val="Standardeinzug"/>
    <w:pPr>
      <w:spacing w:after="120"/>
    </w:pPr>
  </w:style>
  <w:style w:type="paragraph" w:styleId="Kommentartext">
    <w:name w:val="annotation text"/>
    <w:basedOn w:val="Standard"/>
    <w:link w:val="KommentartextZchn"/>
    <w:semiHidden/>
    <w:pPr>
      <w:jc w:val="left"/>
    </w:pPr>
    <w:rPr>
      <w:noProof/>
      <w:sz w:val="20"/>
    </w:rPr>
  </w:style>
  <w:style w:type="paragraph" w:customStyle="1" w:styleId="Beispiel">
    <w:name w:val="Beispiel"/>
    <w:basedOn w:val="Standard"/>
    <w:rsid w:val="00AB7A26"/>
    <w:pPr>
      <w:keepLines/>
      <w:ind w:left="567" w:right="567" w:firstLine="0"/>
      <w:jc w:val="left"/>
    </w:pPr>
    <w:rPr>
      <w:rFonts w:ascii="Arial" w:hAnsi="Arial"/>
      <w:sz w:val="20"/>
    </w:rPr>
  </w:style>
  <w:style w:type="paragraph" w:customStyle="1" w:styleId="Gesetz">
    <w:name w:val="Gesetz"/>
    <w:basedOn w:val="Standard"/>
    <w:qFormat/>
    <w:pPr>
      <w:keepLines/>
      <w:ind w:left="567" w:right="567" w:hanging="567"/>
    </w:pPr>
    <w:rPr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finition">
    <w:name w:val="Definition"/>
    <w:basedOn w:val="Standard"/>
    <w:next w:val="Text"/>
    <w:qFormat/>
    <w:pPr>
      <w:keepNext/>
      <w:keepLines/>
      <w:pBdr>
        <w:top w:val="double" w:sz="6" w:space="1" w:color="auto"/>
        <w:left w:val="double" w:sz="6" w:space="1" w:color="auto"/>
        <w:right w:val="double" w:sz="6" w:space="1" w:color="auto"/>
      </w:pBdr>
      <w:shd w:val="pct10" w:color="auto" w:fill="auto"/>
      <w:spacing w:after="0"/>
      <w:ind w:firstLine="0"/>
    </w:pPr>
    <w:rPr>
      <w:b/>
      <w:u w:val="double"/>
    </w:rPr>
  </w:style>
  <w:style w:type="paragraph" w:customStyle="1" w:styleId="Text">
    <w:name w:val="Text"/>
    <w:basedOn w:val="Standard"/>
    <w:next w:val="Standard"/>
    <w:pPr>
      <w:keepLines/>
      <w:pBdr>
        <w:left w:val="double" w:sz="6" w:space="1" w:color="auto"/>
        <w:bottom w:val="double" w:sz="6" w:space="1" w:color="auto"/>
        <w:right w:val="double" w:sz="6" w:space="1" w:color="auto"/>
      </w:pBdr>
      <w:spacing w:after="240"/>
      <w:ind w:firstLine="0"/>
    </w:pPr>
  </w:style>
  <w:style w:type="paragraph" w:styleId="Sprechblasentext">
    <w:name w:val="Balloon Text"/>
    <w:basedOn w:val="Standard"/>
    <w:semiHidden/>
    <w:rsid w:val="00F3033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164204"/>
    <w:pPr>
      <w:jc w:val="both"/>
    </w:pPr>
    <w:rPr>
      <w:b/>
      <w:bCs/>
      <w:noProof w:val="0"/>
    </w:rPr>
  </w:style>
  <w:style w:type="paragraph" w:styleId="StandardWeb">
    <w:name w:val="Normal (Web)"/>
    <w:basedOn w:val="Standard"/>
    <w:rsid w:val="00ED32CA"/>
    <w:pPr>
      <w:spacing w:before="45" w:after="45"/>
      <w:ind w:firstLine="0"/>
      <w:jc w:val="left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174ED3"/>
    <w:rPr>
      <w:sz w:val="22"/>
      <w:lang w:val="de-DE" w:eastAsia="de-DE"/>
    </w:rPr>
  </w:style>
  <w:style w:type="table" w:styleId="Tabellenraster">
    <w:name w:val="Table Grid"/>
    <w:basedOn w:val="NormaleTabelle"/>
    <w:rsid w:val="008F26C8"/>
    <w:pPr>
      <w:spacing w:after="12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3028A"/>
    <w:rPr>
      <w:b/>
      <w:kern w:val="28"/>
      <w:sz w:val="32"/>
      <w:u w:val="doub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3028A"/>
    <w:rPr>
      <w:b/>
      <w:kern w:val="28"/>
      <w:sz w:val="28"/>
      <w:u w:val="doub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3028A"/>
    <w:rPr>
      <w:b/>
      <w:kern w:val="28"/>
      <w:sz w:val="24"/>
      <w:u w:val="single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03028A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3028A"/>
    <w:rPr>
      <w:noProof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718FB"/>
    <w:rPr>
      <w:color w:val="808080"/>
    </w:rPr>
  </w:style>
  <w:style w:type="character" w:customStyle="1" w:styleId="text-item">
    <w:name w:val="text-item"/>
    <w:basedOn w:val="Absatz-Standardschriftart"/>
    <w:rsid w:val="0096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815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4925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569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chmarkt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DCAD-DF4B-47CB-9907-1DD09B4A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Vortrag Gruppenbesprechung 31</vt:lpstr>
    </vt:vector>
  </TitlesOfParts>
  <Company>BRZ GmbH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Vortrag Gruppenbesprechung 31</dc:title>
  <dc:creator>HAGER</dc:creator>
  <cp:lastModifiedBy>Peter Hager</cp:lastModifiedBy>
  <cp:revision>9</cp:revision>
  <cp:lastPrinted>2014-02-19T05:37:00Z</cp:lastPrinted>
  <dcterms:created xsi:type="dcterms:W3CDTF">2015-02-16T05:01:00Z</dcterms:created>
  <dcterms:modified xsi:type="dcterms:W3CDTF">2015-06-22T18:51:00Z</dcterms:modified>
</cp:coreProperties>
</file>